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70" w:rsidRPr="007D3570" w:rsidRDefault="00607270" w:rsidP="006072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07270" w:rsidRPr="007D3570" w:rsidRDefault="00607270" w:rsidP="006072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07270" w:rsidRPr="007D3570" w:rsidRDefault="00607270" w:rsidP="0060727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5775">
        <w:rPr>
          <w:rFonts w:ascii="Times New Roman" w:hAnsi="Times New Roman" w:cs="Times New Roman"/>
          <w:sz w:val="26"/>
          <w:szCs w:val="26"/>
          <w:lang w:val="uk-UA"/>
        </w:rPr>
        <w:t>02 грудня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607270" w:rsidRDefault="00607270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="00F57209" w:rsidRPr="00F572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br/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>Гацелюк В.О.,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Кидисюк Р.А., Кобецька Н.Р., Коліуш О.Л.,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br/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Мельник Р.І.,</w:t>
      </w:r>
      <w:r w:rsidR="00BB20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="00BB20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Р.М.,</w:t>
      </w:r>
      <w:r w:rsidR="00BB6ACD">
        <w:rPr>
          <w:rFonts w:ascii="Times New Roman" w:hAnsi="Times New Roman" w:cs="Times New Roman"/>
          <w:sz w:val="26"/>
          <w:szCs w:val="26"/>
          <w:lang w:val="uk-UA"/>
        </w:rPr>
        <w:br/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  <w:r w:rsidR="00F57209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607270" w:rsidRDefault="00607270" w:rsidP="00607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7270" w:rsidRDefault="00607270" w:rsidP="00607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607270" w:rsidRDefault="00607270" w:rsidP="006072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1A74" w:rsidRPr="00D81A74" w:rsidRDefault="00D81A74" w:rsidP="00A7020E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D81A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изнати суддю Арцизького районного суду Одеської області Крутову Ольгу Миколаївну такою, що не відповідає займаній посаді.</w:t>
      </w:r>
    </w:p>
    <w:p w:rsidR="00D81A74" w:rsidRPr="00D81A74" w:rsidRDefault="00D81A74" w:rsidP="00D81A74">
      <w:pPr>
        <w:pStyle w:val="ab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D81A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 до Вищої ради правосуддя подання про звільнення судді Арцизького районного суду Одеської області Крутової Ольги Миколаївни із займаної посади.</w:t>
      </w:r>
    </w:p>
    <w:p w:rsidR="00D81A74" w:rsidRDefault="00D81A74" w:rsidP="006072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81A74" w:rsidRPr="00D81A74" w:rsidRDefault="00D81A74" w:rsidP="00310F78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D81A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изнати суддю Яворівського районного суду Львівської області Кондратьєву Наталію Анатоліївну такою, що відповідає займаній посаді.</w:t>
      </w:r>
    </w:p>
    <w:p w:rsidR="00D81A74" w:rsidRPr="00D81A74" w:rsidRDefault="00D81A74" w:rsidP="00D81A7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81A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Внести рекомендацію Вищій раді правосуддя про призначення Кондратьєвої Наталії Анатоліївни на посаду судді Яворівського районного суду Львівської області.</w:t>
      </w:r>
    </w:p>
    <w:p w:rsidR="00D81A74" w:rsidRPr="00A5760D" w:rsidRDefault="00D81A74" w:rsidP="00A576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1A74" w:rsidRPr="00165089" w:rsidRDefault="00165089" w:rsidP="00165089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D73D3F" w:rsidRPr="00165089">
        <w:rPr>
          <w:rFonts w:ascii="Times New Roman" w:hAnsi="Times New Roman" w:cs="Times New Roman"/>
          <w:sz w:val="26"/>
          <w:szCs w:val="26"/>
          <w:lang w:val="uk-UA"/>
        </w:rPr>
        <w:t xml:space="preserve">ідкласти розгляд питання </w:t>
      </w:r>
      <w:r w:rsidR="00D73D3F" w:rsidRPr="00165089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>щодо відповідності судді Господарського суду Полтавської області Семчук Олени Сергіївни займаній посаді.</w:t>
      </w:r>
    </w:p>
    <w:p w:rsidR="00710636" w:rsidRPr="00710636" w:rsidRDefault="00710636" w:rsidP="00710636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E62CB7" w:rsidRPr="00710636" w:rsidRDefault="00710636" w:rsidP="00710636">
      <w:pPr>
        <w:pStyle w:val="ab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0636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вирішила: </w:t>
      </w:r>
    </w:p>
    <w:p w:rsidR="00710636" w:rsidRPr="00456FDB" w:rsidRDefault="00710636" w:rsidP="00710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6FDB">
        <w:rPr>
          <w:rFonts w:ascii="Times New Roman" w:hAnsi="Times New Roman" w:cs="Times New Roman"/>
          <w:sz w:val="26"/>
          <w:szCs w:val="26"/>
          <w:lang w:val="uk-UA"/>
        </w:rPr>
        <w:t>Погодити проєкт змін до Порядку формування і ведення суддівського досьє, затвердженого рішенням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від 15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листопада 2016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150/зп-16,</w:t>
      </w:r>
      <w:r w:rsidR="001C168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і направити 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для консультацій до Вищої ради правосуддя та Ради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0636" w:rsidRPr="00456FDB" w:rsidRDefault="00710636" w:rsidP="00710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6FDB">
        <w:rPr>
          <w:rFonts w:ascii="Times New Roman" w:hAnsi="Times New Roman" w:cs="Times New Roman"/>
          <w:sz w:val="26"/>
          <w:szCs w:val="26"/>
          <w:lang w:val="uk-UA"/>
        </w:rPr>
        <w:t>Погодити проєкт змін до Порядк</w:t>
      </w:r>
      <w:r w:rsidR="008D1EF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формування і ведення досьє кандидата на посаду судді в електронній формі, затвердженого рішенням Вищої кваліфікаційної комісії суддів України від 21 грудня 2023</w:t>
      </w:r>
      <w:r w:rsidR="008D1EF6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194/зп-23, і направити 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для консультацій до Вищої ради правосуддя та Ради суддів України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0636" w:rsidRPr="00456FDB" w:rsidRDefault="00710636" w:rsidP="00710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Погодити проєкт змін до 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Порядку доступу до суддівського досьє (досьє кандидата на посаду судді) членів Громадської ради доброчесності 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в редакції, затверджен</w:t>
      </w:r>
      <w:r w:rsidR="008D1EF6">
        <w:rPr>
          <w:rFonts w:ascii="Times New Roman" w:hAnsi="Times New Roman" w:cs="Times New Roman"/>
          <w:sz w:val="26"/>
          <w:szCs w:val="26"/>
          <w:lang w:val="uk-UA"/>
        </w:rPr>
        <w:t>ій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рішенням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від 22 травня 2024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137/зп-24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, виклавши його в новій редакції, і направити </w:t>
      </w:r>
      <w:r w:rsidR="00144587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для консультацій до Вищої ради правосуддя та Ради суддів України.</w:t>
      </w:r>
    </w:p>
    <w:p w:rsidR="00A5760D" w:rsidRPr="00A5760D" w:rsidRDefault="00710636" w:rsidP="00710636">
      <w:pPr>
        <w:spacing w:after="0" w:line="240" w:lineRule="auto"/>
        <w:ind w:firstLine="708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456FDB">
        <w:rPr>
          <w:rFonts w:ascii="Times New Roman" w:hAnsi="Times New Roman" w:cs="Times New Roman"/>
          <w:sz w:val="26"/>
          <w:szCs w:val="26"/>
          <w:lang w:val="uk-UA"/>
        </w:rPr>
        <w:t>Запропонувати Вищій раді правосуддя та Раді суддів України у строк до 20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грудня 2024 року </w:t>
      </w:r>
      <w:r>
        <w:rPr>
          <w:rFonts w:ascii="Times New Roman" w:hAnsi="Times New Roman" w:cs="Times New Roman"/>
          <w:sz w:val="26"/>
          <w:szCs w:val="26"/>
          <w:lang w:val="uk-UA"/>
        </w:rPr>
        <w:t>висловити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пропозиції </w:t>
      </w:r>
      <w:r>
        <w:rPr>
          <w:rFonts w:ascii="Times New Roman" w:hAnsi="Times New Roman" w:cs="Times New Roman"/>
          <w:sz w:val="26"/>
          <w:szCs w:val="26"/>
          <w:lang w:val="uk-UA"/>
        </w:rPr>
        <w:t>що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зазначених 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456FDB">
        <w:rPr>
          <w:rFonts w:ascii="Times New Roman" w:hAnsi="Times New Roman" w:cs="Times New Roman"/>
          <w:sz w:val="26"/>
          <w:szCs w:val="26"/>
          <w:lang w:val="uk-UA"/>
        </w:rPr>
        <w:t xml:space="preserve"> змін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нормативно-правових актів Вищої кваліфікаційної комісії суддів України.</w:t>
      </w:r>
    </w:p>
    <w:sectPr w:rsidR="00A5760D" w:rsidRPr="00A5760D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05D" w:rsidRDefault="0057205D" w:rsidP="00376821">
      <w:pPr>
        <w:spacing w:after="0" w:line="240" w:lineRule="auto"/>
      </w:pPr>
      <w:r>
        <w:separator/>
      </w:r>
    </w:p>
  </w:endnote>
  <w:endnote w:type="continuationSeparator" w:id="0">
    <w:p w:rsidR="0057205D" w:rsidRDefault="0057205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05D" w:rsidRDefault="0057205D" w:rsidP="00376821">
      <w:pPr>
        <w:spacing w:after="0" w:line="240" w:lineRule="auto"/>
      </w:pPr>
      <w:r>
        <w:separator/>
      </w:r>
    </w:p>
  </w:footnote>
  <w:footnote w:type="continuationSeparator" w:id="0">
    <w:p w:rsidR="0057205D" w:rsidRDefault="0057205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D631B63"/>
    <w:multiLevelType w:val="hybridMultilevel"/>
    <w:tmpl w:val="B84E152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1EC9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6C2E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078B"/>
    <w:rsid w:val="000B26ED"/>
    <w:rsid w:val="000B2D61"/>
    <w:rsid w:val="000B6E80"/>
    <w:rsid w:val="000C132D"/>
    <w:rsid w:val="000C1A43"/>
    <w:rsid w:val="000C231B"/>
    <w:rsid w:val="000C246E"/>
    <w:rsid w:val="000C52BC"/>
    <w:rsid w:val="000C606F"/>
    <w:rsid w:val="000C6E1A"/>
    <w:rsid w:val="000D2768"/>
    <w:rsid w:val="000D5B4E"/>
    <w:rsid w:val="000D5EBA"/>
    <w:rsid w:val="000D6971"/>
    <w:rsid w:val="000D7A58"/>
    <w:rsid w:val="000E0FA9"/>
    <w:rsid w:val="000E12A6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09CD"/>
    <w:rsid w:val="001225BC"/>
    <w:rsid w:val="001254CF"/>
    <w:rsid w:val="00125995"/>
    <w:rsid w:val="001279ED"/>
    <w:rsid w:val="00132CB0"/>
    <w:rsid w:val="00132D8B"/>
    <w:rsid w:val="00133E12"/>
    <w:rsid w:val="00135B15"/>
    <w:rsid w:val="00140843"/>
    <w:rsid w:val="00142EDA"/>
    <w:rsid w:val="00144587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37E"/>
    <w:rsid w:val="00163F11"/>
    <w:rsid w:val="00164D5B"/>
    <w:rsid w:val="00165089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2D2C"/>
    <w:rsid w:val="001B4B91"/>
    <w:rsid w:val="001B4DEA"/>
    <w:rsid w:val="001C168A"/>
    <w:rsid w:val="001C3A64"/>
    <w:rsid w:val="001C3AC4"/>
    <w:rsid w:val="001C44CD"/>
    <w:rsid w:val="001C50A8"/>
    <w:rsid w:val="001C5F15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26970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93"/>
    <w:rsid w:val="002445DD"/>
    <w:rsid w:val="002503E6"/>
    <w:rsid w:val="00255E40"/>
    <w:rsid w:val="002560B3"/>
    <w:rsid w:val="002562FB"/>
    <w:rsid w:val="0025630A"/>
    <w:rsid w:val="002577D8"/>
    <w:rsid w:val="0026071E"/>
    <w:rsid w:val="002615EF"/>
    <w:rsid w:val="00261B0F"/>
    <w:rsid w:val="00262F40"/>
    <w:rsid w:val="00263F9F"/>
    <w:rsid w:val="002649C0"/>
    <w:rsid w:val="00264F79"/>
    <w:rsid w:val="00266411"/>
    <w:rsid w:val="002753FC"/>
    <w:rsid w:val="002754D6"/>
    <w:rsid w:val="00275DC7"/>
    <w:rsid w:val="00276AF1"/>
    <w:rsid w:val="00277433"/>
    <w:rsid w:val="0029055A"/>
    <w:rsid w:val="00293395"/>
    <w:rsid w:val="00296789"/>
    <w:rsid w:val="002A2B5A"/>
    <w:rsid w:val="002A2C75"/>
    <w:rsid w:val="002A32EB"/>
    <w:rsid w:val="002A6065"/>
    <w:rsid w:val="002A6719"/>
    <w:rsid w:val="002A7518"/>
    <w:rsid w:val="002A758F"/>
    <w:rsid w:val="002B19EC"/>
    <w:rsid w:val="002B357D"/>
    <w:rsid w:val="002B3ECF"/>
    <w:rsid w:val="002B4617"/>
    <w:rsid w:val="002B56C8"/>
    <w:rsid w:val="002B5B6F"/>
    <w:rsid w:val="002B71DB"/>
    <w:rsid w:val="002C0C88"/>
    <w:rsid w:val="002C45C5"/>
    <w:rsid w:val="002C6F7F"/>
    <w:rsid w:val="002D0197"/>
    <w:rsid w:val="002D1527"/>
    <w:rsid w:val="002D29A7"/>
    <w:rsid w:val="002D4583"/>
    <w:rsid w:val="002E0064"/>
    <w:rsid w:val="002E1505"/>
    <w:rsid w:val="002E39D2"/>
    <w:rsid w:val="002E4878"/>
    <w:rsid w:val="002E4F86"/>
    <w:rsid w:val="002E6964"/>
    <w:rsid w:val="002E765D"/>
    <w:rsid w:val="002F1BF1"/>
    <w:rsid w:val="002F4075"/>
    <w:rsid w:val="002F4578"/>
    <w:rsid w:val="002F6BBC"/>
    <w:rsid w:val="00301055"/>
    <w:rsid w:val="00301620"/>
    <w:rsid w:val="00303654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266C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6F2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4675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171CA"/>
    <w:rsid w:val="00520996"/>
    <w:rsid w:val="005222CA"/>
    <w:rsid w:val="005230A6"/>
    <w:rsid w:val="00524473"/>
    <w:rsid w:val="00525D9A"/>
    <w:rsid w:val="00526F2C"/>
    <w:rsid w:val="0053582D"/>
    <w:rsid w:val="00536193"/>
    <w:rsid w:val="0053714A"/>
    <w:rsid w:val="005378A1"/>
    <w:rsid w:val="00537ADB"/>
    <w:rsid w:val="00541DD3"/>
    <w:rsid w:val="0054210D"/>
    <w:rsid w:val="00542A55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205D"/>
    <w:rsid w:val="00573974"/>
    <w:rsid w:val="00573E3B"/>
    <w:rsid w:val="0057460C"/>
    <w:rsid w:val="005759EE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270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40BD"/>
    <w:rsid w:val="00636247"/>
    <w:rsid w:val="0064056A"/>
    <w:rsid w:val="00640E54"/>
    <w:rsid w:val="00642A54"/>
    <w:rsid w:val="006438D5"/>
    <w:rsid w:val="0064477D"/>
    <w:rsid w:val="00646F4F"/>
    <w:rsid w:val="00647B8F"/>
    <w:rsid w:val="00651B7E"/>
    <w:rsid w:val="0065362C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3593"/>
    <w:rsid w:val="00674750"/>
    <w:rsid w:val="00675CE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0C"/>
    <w:rsid w:val="006A2D2A"/>
    <w:rsid w:val="006B0B24"/>
    <w:rsid w:val="006B4A6D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0636"/>
    <w:rsid w:val="00711797"/>
    <w:rsid w:val="00711EDF"/>
    <w:rsid w:val="007146FA"/>
    <w:rsid w:val="0072212F"/>
    <w:rsid w:val="00724EA2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29D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358F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1219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2B65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149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C5433"/>
    <w:rsid w:val="008D1EF6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065A6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9A9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54BB7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92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789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327C"/>
    <w:rsid w:val="00A5437C"/>
    <w:rsid w:val="00A5666B"/>
    <w:rsid w:val="00A5728A"/>
    <w:rsid w:val="00A5760D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11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4828"/>
    <w:rsid w:val="00BA5775"/>
    <w:rsid w:val="00BA5B7B"/>
    <w:rsid w:val="00BB1305"/>
    <w:rsid w:val="00BB20CE"/>
    <w:rsid w:val="00BB3D5B"/>
    <w:rsid w:val="00BB6ACD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BFF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48F"/>
    <w:rsid w:val="00C87657"/>
    <w:rsid w:val="00C92A6C"/>
    <w:rsid w:val="00C92EE2"/>
    <w:rsid w:val="00C941C7"/>
    <w:rsid w:val="00C968C8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5A96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2984"/>
    <w:rsid w:val="00D03B16"/>
    <w:rsid w:val="00D04C2F"/>
    <w:rsid w:val="00D056DA"/>
    <w:rsid w:val="00D129DC"/>
    <w:rsid w:val="00D12D17"/>
    <w:rsid w:val="00D20EE5"/>
    <w:rsid w:val="00D228D1"/>
    <w:rsid w:val="00D262F8"/>
    <w:rsid w:val="00D27118"/>
    <w:rsid w:val="00D30DE1"/>
    <w:rsid w:val="00D31837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3D3F"/>
    <w:rsid w:val="00D7574C"/>
    <w:rsid w:val="00D76BB5"/>
    <w:rsid w:val="00D770B6"/>
    <w:rsid w:val="00D81997"/>
    <w:rsid w:val="00D81A74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32CB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43B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2CB7"/>
    <w:rsid w:val="00E6793A"/>
    <w:rsid w:val="00E67E1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0BC7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C6F0F"/>
    <w:rsid w:val="00ED602C"/>
    <w:rsid w:val="00ED655D"/>
    <w:rsid w:val="00ED78C8"/>
    <w:rsid w:val="00EE0316"/>
    <w:rsid w:val="00EE4609"/>
    <w:rsid w:val="00EE6AFD"/>
    <w:rsid w:val="00EF1D52"/>
    <w:rsid w:val="00EF2F40"/>
    <w:rsid w:val="00EF34B2"/>
    <w:rsid w:val="00EF69B2"/>
    <w:rsid w:val="00F042EF"/>
    <w:rsid w:val="00F048BB"/>
    <w:rsid w:val="00F05622"/>
    <w:rsid w:val="00F06614"/>
    <w:rsid w:val="00F11D25"/>
    <w:rsid w:val="00F12887"/>
    <w:rsid w:val="00F13089"/>
    <w:rsid w:val="00F15829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2438"/>
    <w:rsid w:val="00F4407D"/>
    <w:rsid w:val="00F52677"/>
    <w:rsid w:val="00F57209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1D6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1F5B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C7D5C"/>
    <w:rsid w:val="00FD02C2"/>
    <w:rsid w:val="00FD2F69"/>
    <w:rsid w:val="00FD3587"/>
    <w:rsid w:val="00FD39F8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ED6"/>
    <w:rsid w:val="00FF556B"/>
    <w:rsid w:val="00FF5B79"/>
    <w:rsid w:val="00FF5DF2"/>
    <w:rsid w:val="00FF6596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0B8C-984E-49B4-ACE9-32E859D5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2024-12-03T08:41:00Z</cp:lastPrinted>
  <dcterms:created xsi:type="dcterms:W3CDTF">2024-12-03T12:35:00Z</dcterms:created>
  <dcterms:modified xsi:type="dcterms:W3CDTF">2024-12-03T12:35:00Z</dcterms:modified>
</cp:coreProperties>
</file>