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AF076" w14:textId="77777777" w:rsidR="002E0718" w:rsidRDefault="002E0718" w:rsidP="002E071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6D27AE97" w14:textId="77777777" w:rsidR="002E0718" w:rsidRDefault="002E0718" w:rsidP="002E07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661BAE3" w14:textId="77777777" w:rsidR="002E0718" w:rsidRDefault="002E0718" w:rsidP="002E071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14:paraId="0E4B5CD3" w14:textId="77777777" w:rsidR="002E0718" w:rsidRDefault="002E0718" w:rsidP="002E071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37756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 року</w:t>
      </w:r>
    </w:p>
    <w:p w14:paraId="7C34D3A1" w14:textId="77777777" w:rsidR="002E0718" w:rsidRDefault="002E0718" w:rsidP="002E0718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1A7C48C" w14:textId="77777777" w:rsidR="002E0718" w:rsidRDefault="002E0718" w:rsidP="002E071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537756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14:paraId="6C2BE87A" w14:textId="77777777" w:rsidR="002E0718" w:rsidRDefault="002E0718" w:rsidP="002E071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6B82844F" w14:textId="77777777" w:rsidR="002E0718" w:rsidRDefault="002E0718" w:rsidP="002E0718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091AAB6F" w14:textId="77777777" w:rsidR="002E0718" w:rsidRDefault="002E0718" w:rsidP="002E0718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І. Про розгляд повідомлення громадської організації «Всеукраїнське об’єднання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Вищого спеціалізованого суду України з розгляду цивільних і кримінальних справ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(нині суддя Касаційного цивільного суду у складі Верховного Суду)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Ольгою В’ячеславівною у деклараціях доброчесності судді за 2015, 2016 та 2017 роки.</w:t>
      </w:r>
    </w:p>
    <w:p w14:paraId="5F2F87FB" w14:textId="77777777" w:rsidR="002E0718" w:rsidRDefault="002E0718" w:rsidP="002E0718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808D0A" w14:textId="77777777" w:rsidR="002E0718" w:rsidRPr="002B3716" w:rsidRDefault="002E0718" w:rsidP="002E0718">
      <w:pPr>
        <w:pStyle w:val="a7"/>
        <w:jc w:val="center"/>
        <w:rPr>
          <w:rStyle w:val="ab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2B3716">
        <w:rPr>
          <w:rStyle w:val="ab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14:paraId="07AF7ED8" w14:textId="77777777" w:rsidR="002E0718" w:rsidRPr="002E0718" w:rsidRDefault="002E0718" w:rsidP="002E0718">
      <w:pPr>
        <w:pStyle w:val="a7"/>
        <w:ind w:firstLine="708"/>
        <w:jc w:val="both"/>
        <w:rPr>
          <w:rFonts w:ascii="Times New Roman" w:hAnsi="Times New Roman" w:cs="Times New Roman"/>
          <w:lang w:val="uk-UA"/>
        </w:rPr>
      </w:pPr>
    </w:p>
    <w:p w14:paraId="72A1DF82" w14:textId="77777777" w:rsidR="002E0718" w:rsidRDefault="002E0718" w:rsidP="002E0718">
      <w:pPr>
        <w:pStyle w:val="a7"/>
        <w:ind w:firstLine="709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ІІ.</w:t>
      </w: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Про розгляд повідомлення </w:t>
      </w:r>
      <w:proofErr w:type="spellStart"/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Маселка</w:t>
      </w:r>
      <w:proofErr w:type="spellEnd"/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Деснянського районного суду міста Києва Журавською Оленою Василівною у декларації доброчесності судді за 2016 рік.</w:t>
      </w:r>
    </w:p>
    <w:p w14:paraId="47088386" w14:textId="77777777" w:rsidR="002E0718" w:rsidRDefault="002E0718" w:rsidP="002E0718">
      <w:pPr>
        <w:pStyle w:val="a7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14:paraId="2CAA8AEA" w14:textId="77777777" w:rsidR="00AB6A72" w:rsidRDefault="002E0718" w:rsidP="00537756">
      <w:pPr>
        <w:ind w:firstLine="709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</w:t>
      </w:r>
    </w:p>
    <w:p w14:paraId="2EC80D21" w14:textId="77777777" w:rsidR="00663E7A" w:rsidRDefault="00663E7A" w:rsidP="00663E7A">
      <w:pPr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ІІІ. Про розгляд заяви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Михайла Богдановича про самовідвід щодо розгляду питання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Вергелеса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Андрія Валерійовича</w:t>
      </w:r>
      <w:r>
        <w:rPr>
          <w:rFonts w:ascii="ProbaPro" w:hAnsi="ProbaPro"/>
          <w:bCs/>
          <w:color w:val="1D1D1B"/>
          <w:sz w:val="27"/>
          <w:szCs w:val="27"/>
          <w:shd w:val="clear" w:color="auto" w:fill="FFFFFF"/>
          <w:lang w:val="uk-UA"/>
        </w:rPr>
        <w:t xml:space="preserve">. </w:t>
      </w:r>
    </w:p>
    <w:p w14:paraId="4BAC68F4" w14:textId="77777777" w:rsidR="00663E7A" w:rsidRDefault="00663E7A" w:rsidP="00663E7A">
      <w:pPr>
        <w:tabs>
          <w:tab w:val="left" w:pos="567"/>
        </w:tabs>
        <w:spacing w:after="0" w:line="240" w:lineRule="auto"/>
        <w:jc w:val="both"/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</w:pPr>
    </w:p>
    <w:p w14:paraId="30433ACC" w14:textId="3828E850" w:rsidR="00663E7A" w:rsidRDefault="00663E7A" w:rsidP="00663E7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 w:eastAsia="ar-S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i/>
          <w:sz w:val="27"/>
          <w:szCs w:val="27"/>
          <w:lang w:val="uk-UA" w:eastAsia="ar-SA"/>
        </w:rPr>
        <w:t>(доповідач – член Вищої кваліфікаційної комісії суддів України Шевчук Г.М.)</w:t>
      </w:r>
    </w:p>
    <w:p w14:paraId="1E337C01" w14:textId="77777777" w:rsidR="00663E7A" w:rsidRDefault="00663E7A" w:rsidP="00663E7A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D6D5184" w14:textId="77777777" w:rsidR="00663E7A" w:rsidRPr="002E0718" w:rsidRDefault="00663E7A" w:rsidP="00537756">
      <w:pPr>
        <w:ind w:firstLine="709"/>
        <w:rPr>
          <w:lang w:val="uk-UA"/>
        </w:rPr>
      </w:pPr>
    </w:p>
    <w:sectPr w:rsidR="00663E7A" w:rsidRPr="002E0718" w:rsidSect="002E0718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8"/>
    <w:rsid w:val="002B3182"/>
    <w:rsid w:val="002B3716"/>
    <w:rsid w:val="002E0718"/>
    <w:rsid w:val="004F0002"/>
    <w:rsid w:val="00537756"/>
    <w:rsid w:val="00663E7A"/>
    <w:rsid w:val="00810996"/>
    <w:rsid w:val="00AB6A72"/>
    <w:rsid w:val="00BC7336"/>
    <w:rsid w:val="00D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5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0718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E0718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2E0718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2E0718"/>
    <w:rPr>
      <w:rFonts w:ascii="Calibri" w:eastAsia="Calibri" w:hAnsi="Calibri" w:cs="Calibri"/>
      <w:color w:val="000000"/>
      <w:u w:color="000000"/>
      <w:lang w:eastAsia="uk-UA"/>
    </w:rPr>
  </w:style>
  <w:style w:type="paragraph" w:styleId="a7">
    <w:name w:val="No Spacing"/>
    <w:uiPriority w:val="1"/>
    <w:qFormat/>
    <w:rsid w:val="002E0718"/>
    <w:pPr>
      <w:spacing w:after="0" w:line="240" w:lineRule="auto"/>
    </w:pPr>
    <w:rPr>
      <w:lang w:val="ru-RU"/>
    </w:rPr>
  </w:style>
  <w:style w:type="paragraph" w:styleId="a8">
    <w:name w:val="List Paragraph"/>
    <w:basedOn w:val="a"/>
    <w:qFormat/>
    <w:rsid w:val="002E0718"/>
    <w:pPr>
      <w:ind w:left="720"/>
      <w:contextualSpacing/>
    </w:pPr>
  </w:style>
  <w:style w:type="paragraph" w:customStyle="1" w:styleId="a9">
    <w:name w:val="Базовый"/>
    <w:rsid w:val="002E07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2E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2E07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E071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B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371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E0718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E0718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2E0718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2E0718"/>
    <w:rPr>
      <w:rFonts w:ascii="Calibri" w:eastAsia="Calibri" w:hAnsi="Calibri" w:cs="Calibri"/>
      <w:color w:val="000000"/>
      <w:u w:color="000000"/>
      <w:lang w:eastAsia="uk-UA"/>
    </w:rPr>
  </w:style>
  <w:style w:type="paragraph" w:styleId="a7">
    <w:name w:val="No Spacing"/>
    <w:uiPriority w:val="1"/>
    <w:qFormat/>
    <w:rsid w:val="002E0718"/>
    <w:pPr>
      <w:spacing w:after="0" w:line="240" w:lineRule="auto"/>
    </w:pPr>
    <w:rPr>
      <w:lang w:val="ru-RU"/>
    </w:rPr>
  </w:style>
  <w:style w:type="paragraph" w:styleId="a8">
    <w:name w:val="List Paragraph"/>
    <w:basedOn w:val="a"/>
    <w:qFormat/>
    <w:rsid w:val="002E0718"/>
    <w:pPr>
      <w:ind w:left="720"/>
      <w:contextualSpacing/>
    </w:pPr>
  </w:style>
  <w:style w:type="paragraph" w:customStyle="1" w:styleId="a9">
    <w:name w:val="Базовый"/>
    <w:rsid w:val="002E07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2E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2E07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E071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B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371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Легідзь Юлія Михайлівна</dc:creator>
  <cp:lastModifiedBy>Лук'янова Оксана Вячеславівна</cp:lastModifiedBy>
  <cp:revision>3</cp:revision>
  <cp:lastPrinted>2023-09-05T08:45:00Z</cp:lastPrinted>
  <dcterms:created xsi:type="dcterms:W3CDTF">2023-09-14T08:17:00Z</dcterms:created>
  <dcterms:modified xsi:type="dcterms:W3CDTF">2023-09-14T08:19:00Z</dcterms:modified>
</cp:coreProperties>
</file>