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84AC8" w:rsidRDefault="00004062" w:rsidP="00004062">
      <w:pPr>
        <w:spacing w:after="0" w:line="240" w:lineRule="auto"/>
        <w:jc w:val="center"/>
        <w:rPr>
          <w:rFonts w:ascii="Times New Roman" w:eastAsia="Times New Roman" w:hAnsi="Times New Roman" w:cs="Times New Roman"/>
          <w:sz w:val="24"/>
          <w:szCs w:val="24"/>
          <w:lang w:eastAsia="ru-RU"/>
        </w:rPr>
      </w:pPr>
      <w:r w:rsidRPr="00F84AC8">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F84AC8">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A85018" w:rsidRDefault="00A4064A" w:rsidP="00A22F96">
      <w:pPr>
        <w:spacing w:after="0" w:line="240" w:lineRule="auto"/>
        <w:rPr>
          <w:rFonts w:ascii="Times New Roman" w:eastAsia="Times New Roman" w:hAnsi="Times New Roman" w:cs="Times New Roman"/>
          <w:sz w:val="27"/>
          <w:szCs w:val="27"/>
          <w:lang w:eastAsia="ru-RU"/>
        </w:rPr>
      </w:pPr>
      <w:r w:rsidRPr="00A85018">
        <w:rPr>
          <w:rFonts w:ascii="Times New Roman" w:eastAsia="Times New Roman" w:hAnsi="Times New Roman" w:cs="Times New Roman"/>
          <w:sz w:val="27"/>
          <w:szCs w:val="27"/>
          <w:lang w:eastAsia="ru-RU"/>
        </w:rPr>
        <w:t>09</w:t>
      </w:r>
      <w:r w:rsidR="00452576" w:rsidRPr="00A85018">
        <w:rPr>
          <w:rFonts w:ascii="Times New Roman" w:eastAsia="Times New Roman" w:hAnsi="Times New Roman" w:cs="Times New Roman"/>
          <w:sz w:val="27"/>
          <w:szCs w:val="27"/>
          <w:lang w:eastAsia="ru-RU"/>
        </w:rPr>
        <w:t xml:space="preserve"> </w:t>
      </w:r>
      <w:r w:rsidRPr="00A85018">
        <w:rPr>
          <w:rFonts w:ascii="Times New Roman" w:eastAsia="Times New Roman" w:hAnsi="Times New Roman" w:cs="Times New Roman"/>
          <w:sz w:val="27"/>
          <w:szCs w:val="27"/>
          <w:lang w:eastAsia="ru-RU"/>
        </w:rPr>
        <w:t>черв</w:t>
      </w:r>
      <w:r w:rsidR="00452576" w:rsidRPr="00A85018">
        <w:rPr>
          <w:rFonts w:ascii="Times New Roman" w:eastAsia="Times New Roman" w:hAnsi="Times New Roman" w:cs="Times New Roman"/>
          <w:sz w:val="27"/>
          <w:szCs w:val="27"/>
          <w:lang w:eastAsia="ru-RU"/>
        </w:rPr>
        <w:t>ня</w:t>
      </w:r>
      <w:r w:rsidR="00004062" w:rsidRPr="00A85018">
        <w:rPr>
          <w:rFonts w:ascii="Times New Roman" w:eastAsia="Times New Roman" w:hAnsi="Times New Roman" w:cs="Times New Roman"/>
          <w:sz w:val="27"/>
          <w:szCs w:val="27"/>
          <w:lang w:eastAsia="ru-RU"/>
        </w:rPr>
        <w:t xml:space="preserve"> 20</w:t>
      </w:r>
      <w:r w:rsidR="00C36C96" w:rsidRPr="00A85018">
        <w:rPr>
          <w:rFonts w:ascii="Times New Roman" w:eastAsia="Times New Roman" w:hAnsi="Times New Roman" w:cs="Times New Roman"/>
          <w:sz w:val="27"/>
          <w:szCs w:val="27"/>
          <w:lang w:eastAsia="ru-RU"/>
        </w:rPr>
        <w:t>2</w:t>
      </w:r>
      <w:r w:rsidR="00C17DC2" w:rsidRPr="00A85018">
        <w:rPr>
          <w:rFonts w:ascii="Times New Roman" w:eastAsia="Times New Roman" w:hAnsi="Times New Roman" w:cs="Times New Roman"/>
          <w:sz w:val="27"/>
          <w:szCs w:val="27"/>
          <w:lang w:eastAsia="ru-RU"/>
        </w:rPr>
        <w:t>5</w:t>
      </w:r>
      <w:r w:rsidR="00004062" w:rsidRPr="00A85018">
        <w:rPr>
          <w:rFonts w:ascii="Times New Roman" w:eastAsia="Times New Roman" w:hAnsi="Times New Roman" w:cs="Times New Roman"/>
          <w:sz w:val="27"/>
          <w:szCs w:val="27"/>
          <w:lang w:eastAsia="ru-RU"/>
        </w:rPr>
        <w:t xml:space="preserve"> р</w:t>
      </w:r>
      <w:r w:rsidR="00C36C96" w:rsidRPr="00A85018">
        <w:rPr>
          <w:rFonts w:ascii="Times New Roman" w:eastAsia="Times New Roman" w:hAnsi="Times New Roman" w:cs="Times New Roman"/>
          <w:sz w:val="27"/>
          <w:szCs w:val="27"/>
          <w:lang w:eastAsia="ru-RU"/>
        </w:rPr>
        <w:t>оку</w:t>
      </w:r>
      <w:r w:rsidR="00004062" w:rsidRPr="00A85018">
        <w:rPr>
          <w:rFonts w:ascii="Times New Roman" w:eastAsia="Times New Roman" w:hAnsi="Times New Roman" w:cs="Times New Roman"/>
          <w:sz w:val="27"/>
          <w:szCs w:val="27"/>
          <w:lang w:eastAsia="ru-RU"/>
        </w:rPr>
        <w:t xml:space="preserve"> </w:t>
      </w:r>
      <w:r w:rsidR="00004062" w:rsidRPr="00A85018">
        <w:rPr>
          <w:rFonts w:ascii="Times New Roman" w:eastAsia="Times New Roman" w:hAnsi="Times New Roman" w:cs="Times New Roman"/>
          <w:sz w:val="27"/>
          <w:szCs w:val="27"/>
          <w:lang w:eastAsia="ru-RU"/>
        </w:rPr>
        <w:tab/>
      </w:r>
      <w:r w:rsidR="00004062" w:rsidRPr="00A85018">
        <w:rPr>
          <w:rFonts w:ascii="Times New Roman" w:eastAsia="Times New Roman" w:hAnsi="Times New Roman" w:cs="Times New Roman"/>
          <w:sz w:val="27"/>
          <w:szCs w:val="27"/>
          <w:lang w:eastAsia="ru-RU"/>
        </w:rPr>
        <w:tab/>
      </w:r>
      <w:r w:rsidR="00004062" w:rsidRPr="00A85018">
        <w:rPr>
          <w:rFonts w:ascii="Times New Roman" w:eastAsia="Times New Roman" w:hAnsi="Times New Roman" w:cs="Times New Roman"/>
          <w:sz w:val="27"/>
          <w:szCs w:val="27"/>
          <w:lang w:eastAsia="ru-RU"/>
        </w:rPr>
        <w:tab/>
      </w:r>
      <w:r w:rsidR="00004062" w:rsidRPr="00A85018">
        <w:rPr>
          <w:rFonts w:ascii="Times New Roman" w:eastAsia="Times New Roman" w:hAnsi="Times New Roman" w:cs="Times New Roman"/>
          <w:sz w:val="27"/>
          <w:szCs w:val="27"/>
          <w:lang w:eastAsia="ru-RU"/>
        </w:rPr>
        <w:tab/>
      </w:r>
      <w:r w:rsidR="00004062" w:rsidRPr="00A85018">
        <w:rPr>
          <w:rFonts w:ascii="Times New Roman" w:eastAsia="Times New Roman" w:hAnsi="Times New Roman" w:cs="Times New Roman"/>
          <w:sz w:val="27"/>
          <w:szCs w:val="27"/>
          <w:lang w:eastAsia="ru-RU"/>
        </w:rPr>
        <w:tab/>
      </w:r>
      <w:r w:rsidR="00004062" w:rsidRPr="00A85018">
        <w:rPr>
          <w:rFonts w:ascii="Times New Roman" w:eastAsia="Times New Roman" w:hAnsi="Times New Roman" w:cs="Times New Roman"/>
          <w:sz w:val="27"/>
          <w:szCs w:val="27"/>
          <w:lang w:eastAsia="ru-RU"/>
        </w:rPr>
        <w:tab/>
      </w:r>
      <w:r w:rsidR="00082535" w:rsidRPr="00A85018">
        <w:rPr>
          <w:rFonts w:ascii="Times New Roman" w:eastAsia="Times New Roman" w:hAnsi="Times New Roman" w:cs="Times New Roman"/>
          <w:sz w:val="27"/>
          <w:szCs w:val="27"/>
          <w:lang w:eastAsia="ru-RU"/>
        </w:rPr>
        <w:t xml:space="preserve">  </w:t>
      </w:r>
      <w:r w:rsidR="00004062" w:rsidRPr="00A85018">
        <w:rPr>
          <w:rFonts w:ascii="Times New Roman" w:eastAsia="Times New Roman" w:hAnsi="Times New Roman" w:cs="Times New Roman"/>
          <w:sz w:val="27"/>
          <w:szCs w:val="27"/>
          <w:lang w:eastAsia="ru-RU"/>
        </w:rPr>
        <w:tab/>
      </w:r>
      <w:r w:rsidR="00004062" w:rsidRPr="00A85018">
        <w:rPr>
          <w:rFonts w:ascii="Times New Roman" w:eastAsia="Times New Roman" w:hAnsi="Times New Roman" w:cs="Times New Roman"/>
          <w:sz w:val="27"/>
          <w:szCs w:val="27"/>
          <w:lang w:eastAsia="ru-RU"/>
        </w:rPr>
        <w:tab/>
      </w:r>
      <w:r w:rsidR="00024E2B" w:rsidRPr="00A85018">
        <w:rPr>
          <w:rFonts w:ascii="Times New Roman" w:eastAsia="Times New Roman" w:hAnsi="Times New Roman" w:cs="Times New Roman"/>
          <w:sz w:val="27"/>
          <w:szCs w:val="27"/>
          <w:lang w:eastAsia="ru-RU"/>
        </w:rPr>
        <w:t xml:space="preserve">               </w:t>
      </w:r>
      <w:r w:rsidR="00004062" w:rsidRPr="00A85018">
        <w:rPr>
          <w:rFonts w:ascii="Times New Roman" w:eastAsia="Times New Roman" w:hAnsi="Times New Roman" w:cs="Times New Roman"/>
          <w:sz w:val="27"/>
          <w:szCs w:val="27"/>
          <w:lang w:eastAsia="ru-RU"/>
        </w:rPr>
        <w:t xml:space="preserve">м. Київ </w:t>
      </w:r>
    </w:p>
    <w:p w:rsidR="009730EC" w:rsidRPr="00A85018" w:rsidRDefault="009730EC" w:rsidP="00A22F96">
      <w:pPr>
        <w:spacing w:after="0" w:line="240" w:lineRule="auto"/>
        <w:rPr>
          <w:rFonts w:ascii="Times New Roman" w:eastAsia="Times New Roman" w:hAnsi="Times New Roman" w:cs="Times New Roman"/>
          <w:sz w:val="27"/>
          <w:szCs w:val="27"/>
          <w:lang w:eastAsia="ru-RU"/>
        </w:rPr>
      </w:pPr>
    </w:p>
    <w:p w:rsidR="009730EC" w:rsidRPr="00A85018" w:rsidRDefault="00004062" w:rsidP="00A22F96">
      <w:pPr>
        <w:spacing w:after="0" w:line="240" w:lineRule="auto"/>
        <w:jc w:val="center"/>
        <w:rPr>
          <w:rFonts w:ascii="Times New Roman" w:eastAsia="Times New Roman" w:hAnsi="Times New Roman" w:cs="Times New Roman"/>
          <w:bCs/>
          <w:sz w:val="27"/>
          <w:szCs w:val="27"/>
          <w:lang w:eastAsia="ru-RU"/>
        </w:rPr>
      </w:pPr>
      <w:r w:rsidRPr="00A85018">
        <w:rPr>
          <w:rFonts w:ascii="Times New Roman" w:eastAsia="Times New Roman" w:hAnsi="Times New Roman" w:cs="Times New Roman"/>
          <w:bCs/>
          <w:sz w:val="27"/>
          <w:szCs w:val="27"/>
          <w:lang w:eastAsia="ru-RU"/>
        </w:rPr>
        <w:t xml:space="preserve">Р І Ш Е Н Н Я № </w:t>
      </w:r>
      <w:r w:rsidR="008319E9">
        <w:rPr>
          <w:rFonts w:ascii="Times New Roman" w:eastAsia="Times New Roman" w:hAnsi="Times New Roman" w:cs="Times New Roman"/>
          <w:bCs/>
          <w:sz w:val="27"/>
          <w:szCs w:val="27"/>
          <w:u w:val="single"/>
          <w:lang w:eastAsia="ru-RU"/>
        </w:rPr>
        <w:t>80/ас-25</w:t>
      </w:r>
    </w:p>
    <w:p w:rsidR="00F36D0E" w:rsidRPr="00A85018" w:rsidRDefault="00F36D0E" w:rsidP="00A22F96">
      <w:pPr>
        <w:spacing w:after="0" w:line="240" w:lineRule="auto"/>
        <w:rPr>
          <w:rFonts w:ascii="Times New Roman" w:eastAsia="Times New Roman" w:hAnsi="Times New Roman" w:cs="Times New Roman"/>
          <w:bCs/>
          <w:sz w:val="27"/>
          <w:szCs w:val="27"/>
          <w:lang w:eastAsia="ru-RU"/>
        </w:rPr>
      </w:pPr>
    </w:p>
    <w:p w:rsidR="008120AE" w:rsidRPr="00A85018" w:rsidRDefault="008120AE" w:rsidP="00A22F96">
      <w:pPr>
        <w:spacing w:after="0" w:line="240" w:lineRule="auto"/>
        <w:jc w:val="both"/>
        <w:rPr>
          <w:rFonts w:ascii="Times New Roman" w:eastAsia="Times New Roman" w:hAnsi="Times New Roman" w:cs="Times New Roman"/>
          <w:bCs/>
          <w:sz w:val="27"/>
          <w:szCs w:val="27"/>
          <w:lang w:eastAsia="ru-RU"/>
        </w:rPr>
      </w:pPr>
      <w:r w:rsidRPr="00A85018">
        <w:rPr>
          <w:rFonts w:ascii="Times New Roman" w:eastAsia="Times New Roman" w:hAnsi="Times New Roman" w:cs="Times New Roman"/>
          <w:bCs/>
          <w:sz w:val="27"/>
          <w:szCs w:val="27"/>
          <w:lang w:eastAsia="ru-RU"/>
        </w:rPr>
        <w:t xml:space="preserve">Вища кваліфікаційна комісія суддів України у </w:t>
      </w:r>
      <w:r w:rsidR="00767796" w:rsidRPr="00A85018">
        <w:rPr>
          <w:rFonts w:ascii="Times New Roman" w:eastAsia="Times New Roman" w:hAnsi="Times New Roman" w:cs="Times New Roman"/>
          <w:bCs/>
          <w:sz w:val="27"/>
          <w:szCs w:val="27"/>
          <w:lang w:eastAsia="ru-RU"/>
        </w:rPr>
        <w:t xml:space="preserve">пленарному </w:t>
      </w:r>
      <w:r w:rsidRPr="00A85018">
        <w:rPr>
          <w:rFonts w:ascii="Times New Roman" w:eastAsia="Times New Roman" w:hAnsi="Times New Roman" w:cs="Times New Roman"/>
          <w:bCs/>
          <w:sz w:val="27"/>
          <w:szCs w:val="27"/>
          <w:lang w:eastAsia="ru-RU"/>
        </w:rPr>
        <w:t>складі:</w:t>
      </w:r>
    </w:p>
    <w:p w:rsidR="00F36D0E" w:rsidRPr="00A85018" w:rsidRDefault="00F36D0E" w:rsidP="00A22F96">
      <w:pPr>
        <w:spacing w:after="0" w:line="240" w:lineRule="auto"/>
        <w:jc w:val="both"/>
        <w:rPr>
          <w:rFonts w:ascii="Times New Roman" w:eastAsia="Times New Roman" w:hAnsi="Times New Roman" w:cs="Times New Roman"/>
          <w:bCs/>
          <w:sz w:val="27"/>
          <w:szCs w:val="27"/>
          <w:lang w:eastAsia="ru-RU"/>
        </w:rPr>
      </w:pPr>
    </w:p>
    <w:p w:rsidR="00500087" w:rsidRPr="00A85018" w:rsidRDefault="00500087" w:rsidP="00A22F96">
      <w:pPr>
        <w:shd w:val="clear" w:color="auto" w:fill="FFFFFF"/>
        <w:suppressAutoHyphens/>
        <w:spacing w:after="0" w:line="240" w:lineRule="auto"/>
        <w:ind w:right="-1"/>
        <w:jc w:val="both"/>
        <w:rPr>
          <w:rFonts w:ascii="Times New Roman" w:eastAsia="Times New Roman" w:hAnsi="Times New Roman" w:cs="Times New Roman"/>
          <w:sz w:val="27"/>
          <w:szCs w:val="27"/>
          <w:lang w:eastAsia="ar-SA"/>
        </w:rPr>
      </w:pPr>
      <w:r w:rsidRPr="00A85018">
        <w:rPr>
          <w:rFonts w:ascii="Times New Roman" w:eastAsia="Times New Roman" w:hAnsi="Times New Roman" w:cs="Times New Roman"/>
          <w:sz w:val="27"/>
          <w:szCs w:val="27"/>
          <w:lang w:eastAsia="ar-SA"/>
        </w:rPr>
        <w:t xml:space="preserve">головуючого – </w:t>
      </w:r>
      <w:r w:rsidR="00DF18DF" w:rsidRPr="00A85018">
        <w:rPr>
          <w:rFonts w:ascii="Times New Roman" w:eastAsia="Times New Roman" w:hAnsi="Times New Roman" w:cs="Times New Roman"/>
          <w:sz w:val="27"/>
          <w:szCs w:val="27"/>
          <w:lang w:eastAsia="ar-SA"/>
        </w:rPr>
        <w:t>Андрія ПАСІЧНИКА</w:t>
      </w:r>
      <w:r w:rsidR="00116338" w:rsidRPr="00A85018">
        <w:rPr>
          <w:rFonts w:ascii="Times New Roman" w:eastAsia="Times New Roman" w:hAnsi="Times New Roman" w:cs="Times New Roman"/>
          <w:sz w:val="27"/>
          <w:szCs w:val="27"/>
          <w:lang w:eastAsia="ar-SA"/>
        </w:rPr>
        <w:t>,</w:t>
      </w:r>
    </w:p>
    <w:p w:rsidR="00F36D0E" w:rsidRPr="00A85018"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p>
    <w:p w:rsidR="00500087" w:rsidRPr="00A85018"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r w:rsidRPr="00A85018">
        <w:rPr>
          <w:rFonts w:ascii="Times New Roman" w:eastAsia="Times New Roman" w:hAnsi="Times New Roman" w:cs="Times New Roman"/>
          <w:sz w:val="27"/>
          <w:szCs w:val="27"/>
          <w:lang w:eastAsia="ar-SA"/>
        </w:rPr>
        <w:t xml:space="preserve">членів Комісії: </w:t>
      </w:r>
      <w:r w:rsidR="00767796" w:rsidRPr="00A85018">
        <w:rPr>
          <w:rFonts w:ascii="Times New Roman" w:eastAsia="Times New Roman" w:hAnsi="Times New Roman" w:cs="Times New Roman"/>
          <w:sz w:val="27"/>
          <w:szCs w:val="27"/>
          <w:lang w:eastAsia="ar-SA"/>
        </w:rPr>
        <w:t xml:space="preserve">Михайла БОГОНОСА, Віталія ГАЦЕЛЮКА, Романа КИДИСЮКА (доповідач), Надії КОБЕЦЬКОЇ, Олега КОЛІУША, Володимира ЛУГАНСЬКОГО, Руслана МЕЛЬНИКА, </w:t>
      </w:r>
      <w:r w:rsidR="00DF18DF" w:rsidRPr="00A85018">
        <w:rPr>
          <w:rFonts w:ascii="Times New Roman" w:eastAsia="Times New Roman" w:hAnsi="Times New Roman" w:cs="Times New Roman"/>
          <w:sz w:val="27"/>
          <w:szCs w:val="27"/>
          <w:lang w:eastAsia="ar-SA"/>
        </w:rPr>
        <w:t xml:space="preserve">Олексія ОМЕЛЬЯНА, </w:t>
      </w:r>
      <w:r w:rsidR="00767796" w:rsidRPr="00A85018">
        <w:rPr>
          <w:rFonts w:ascii="Times New Roman" w:eastAsia="Times New Roman" w:hAnsi="Times New Roman" w:cs="Times New Roman"/>
          <w:sz w:val="27"/>
          <w:szCs w:val="27"/>
          <w:lang w:eastAsia="ar-SA"/>
        </w:rPr>
        <w:t xml:space="preserve">Романа САБОДАША, Руслана СИДОРОВИЧА, </w:t>
      </w:r>
      <w:r w:rsidR="00AB4A48" w:rsidRPr="00A85018">
        <w:rPr>
          <w:rFonts w:ascii="Times New Roman" w:eastAsia="Times New Roman" w:hAnsi="Times New Roman" w:cs="Times New Roman"/>
          <w:sz w:val="27"/>
          <w:szCs w:val="27"/>
          <w:lang w:eastAsia="ar-SA"/>
        </w:rPr>
        <w:t>Галини ШЕВЧУК,</w:t>
      </w:r>
    </w:p>
    <w:p w:rsidR="00FF73BC" w:rsidRPr="00A85018" w:rsidRDefault="00FF73BC"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p>
    <w:p w:rsidR="00FF73BC" w:rsidRPr="00A85018" w:rsidRDefault="006872D9" w:rsidP="00FF73BC">
      <w:pPr>
        <w:shd w:val="clear" w:color="auto" w:fill="FFFFFF"/>
        <w:tabs>
          <w:tab w:val="left" w:pos="3969"/>
        </w:tabs>
        <w:suppressAutoHyphens/>
        <w:spacing w:after="0" w:line="240" w:lineRule="auto"/>
        <w:ind w:right="-15"/>
        <w:jc w:val="both"/>
        <w:rPr>
          <w:rFonts w:ascii="Times New Roman" w:eastAsia="Times New Roman" w:hAnsi="Times New Roman" w:cs="Times New Roman"/>
          <w:color w:val="000000" w:themeColor="text1"/>
          <w:sz w:val="27"/>
          <w:szCs w:val="27"/>
          <w:lang w:eastAsia="ar-SA"/>
        </w:rPr>
      </w:pPr>
      <w:r w:rsidRPr="00A85018">
        <w:rPr>
          <w:rFonts w:ascii="Times New Roman" w:eastAsia="Times New Roman" w:hAnsi="Times New Roman" w:cs="Times New Roman"/>
          <w:color w:val="000000" w:themeColor="text1"/>
          <w:sz w:val="27"/>
          <w:szCs w:val="27"/>
          <w:lang w:eastAsia="ar-SA"/>
        </w:rPr>
        <w:t>за участю</w:t>
      </w:r>
      <w:r w:rsidR="00FF73BC" w:rsidRPr="00A85018">
        <w:rPr>
          <w:rFonts w:ascii="Times New Roman" w:eastAsia="Times New Roman" w:hAnsi="Times New Roman" w:cs="Times New Roman"/>
          <w:color w:val="000000" w:themeColor="text1"/>
          <w:sz w:val="27"/>
          <w:szCs w:val="27"/>
          <w:lang w:eastAsia="ar-SA"/>
        </w:rPr>
        <w:t>:</w:t>
      </w:r>
    </w:p>
    <w:p w:rsidR="00A4064A" w:rsidRPr="00A85018" w:rsidRDefault="00A4064A" w:rsidP="00FF73BC">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p>
    <w:p w:rsidR="00A4064A" w:rsidRPr="00A85018" w:rsidRDefault="00A4064A"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r w:rsidRPr="00A85018">
        <w:rPr>
          <w:rFonts w:ascii="Times New Roman" w:eastAsia="Times New Roman" w:hAnsi="Times New Roman" w:cs="Times New Roman"/>
          <w:sz w:val="27"/>
          <w:szCs w:val="27"/>
          <w:lang w:eastAsia="ar-SA"/>
        </w:rPr>
        <w:t>кандидата на посаду судді апеляційного адміністративного суду Івана ТАРНОВЕЦЬКОГО,</w:t>
      </w:r>
    </w:p>
    <w:p w:rsidR="00A4064A" w:rsidRPr="00A85018" w:rsidRDefault="00A4064A"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eastAsia="ar-SA"/>
        </w:rPr>
      </w:pPr>
    </w:p>
    <w:p w:rsidR="00FF73BC" w:rsidRPr="00A85018" w:rsidRDefault="00A4064A"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color w:val="000000" w:themeColor="text1"/>
          <w:sz w:val="27"/>
          <w:szCs w:val="27"/>
          <w:lang w:val="en-US" w:eastAsia="ar-SA"/>
        </w:rPr>
      </w:pPr>
      <w:r w:rsidRPr="00A85018">
        <w:rPr>
          <w:rFonts w:ascii="Times New Roman" w:eastAsia="Times New Roman" w:hAnsi="Times New Roman" w:cs="Times New Roman"/>
          <w:sz w:val="27"/>
          <w:szCs w:val="27"/>
          <w:lang w:eastAsia="ar-SA"/>
        </w:rPr>
        <w:t>представника Громадської ради доброчесності Антона ЗЕЛІНСЬКОГО,</w:t>
      </w:r>
    </w:p>
    <w:p w:rsidR="008120AE" w:rsidRPr="00A85018" w:rsidRDefault="008120AE" w:rsidP="00C54EE7">
      <w:pPr>
        <w:autoSpaceDE w:val="0"/>
        <w:autoSpaceDN w:val="0"/>
        <w:adjustRightInd w:val="0"/>
        <w:spacing w:after="0" w:line="235" w:lineRule="auto"/>
        <w:jc w:val="both"/>
        <w:rPr>
          <w:rFonts w:ascii="Times New Roman" w:hAnsi="Times New Roman" w:cs="Times New Roman"/>
          <w:color w:val="000000" w:themeColor="text1"/>
          <w:sz w:val="27"/>
          <w:szCs w:val="27"/>
        </w:rPr>
      </w:pPr>
    </w:p>
    <w:p w:rsidR="000F1077" w:rsidRPr="00A85018" w:rsidRDefault="000F1077" w:rsidP="00C54EE7">
      <w:pPr>
        <w:autoSpaceDE w:val="0"/>
        <w:autoSpaceDN w:val="0"/>
        <w:adjustRightInd w:val="0"/>
        <w:spacing w:after="0" w:line="235" w:lineRule="auto"/>
        <w:jc w:val="both"/>
        <w:rPr>
          <w:rFonts w:ascii="Times New Roman" w:hAnsi="Times New Roman" w:cs="Times New Roman"/>
          <w:sz w:val="27"/>
          <w:szCs w:val="27"/>
        </w:rPr>
      </w:pPr>
      <w:r w:rsidRPr="00A85018">
        <w:rPr>
          <w:rFonts w:ascii="Times New Roman" w:hAnsi="Times New Roman" w:cs="Times New Roman"/>
          <w:sz w:val="27"/>
          <w:szCs w:val="27"/>
        </w:rPr>
        <w:t xml:space="preserve">розглянувши </w:t>
      </w:r>
      <w:r w:rsidRPr="00A85018">
        <w:rPr>
          <w:rFonts w:ascii="Times New Roman" w:hAnsi="Times New Roman" w:cs="Times New Roman"/>
          <w:bCs/>
          <w:sz w:val="27"/>
          <w:szCs w:val="27"/>
        </w:rPr>
        <w:t xml:space="preserve">питання </w:t>
      </w:r>
      <w:r w:rsidR="00767796" w:rsidRPr="00A85018">
        <w:rPr>
          <w:rFonts w:ascii="Times New Roman" w:hAnsi="Times New Roman" w:cs="Times New Roman"/>
          <w:bCs/>
          <w:sz w:val="27"/>
          <w:szCs w:val="27"/>
        </w:rPr>
        <w:t xml:space="preserve">щодо </w:t>
      </w:r>
      <w:r w:rsidR="00A4064A" w:rsidRPr="00A85018">
        <w:rPr>
          <w:rFonts w:ascii="Times New Roman" w:hAnsi="Times New Roman" w:cs="Times New Roman"/>
          <w:bCs/>
          <w:sz w:val="27"/>
          <w:szCs w:val="27"/>
        </w:rPr>
        <w:t>підтвердження здатності кандидата на посаду судді Тарновецького Івана Ігоровича здійснювати правосуддя в апеляційному адміністративному суді у межах конкурсу, оголошеного рішенням Комісії</w:t>
      </w:r>
      <w:r w:rsidR="00DF18DF" w:rsidRPr="00A85018">
        <w:rPr>
          <w:rFonts w:ascii="Times New Roman" w:hAnsi="Times New Roman" w:cs="Times New Roman"/>
          <w:bCs/>
          <w:sz w:val="27"/>
          <w:szCs w:val="27"/>
          <w:lang w:val="en-US"/>
        </w:rPr>
        <w:t xml:space="preserve"> </w:t>
      </w:r>
      <w:r w:rsidR="00A4064A" w:rsidRPr="00A85018">
        <w:rPr>
          <w:rFonts w:ascii="Times New Roman" w:hAnsi="Times New Roman" w:cs="Times New Roman"/>
          <w:bCs/>
          <w:sz w:val="27"/>
          <w:szCs w:val="27"/>
        </w:rPr>
        <w:t>від</w:t>
      </w:r>
      <w:r w:rsidR="000F4C5B">
        <w:rPr>
          <w:rFonts w:ascii="Times New Roman" w:hAnsi="Times New Roman" w:cs="Times New Roman"/>
          <w:bCs/>
          <w:sz w:val="27"/>
          <w:szCs w:val="27"/>
        </w:rPr>
        <w:t> </w:t>
      </w:r>
      <w:r w:rsidR="00A4064A" w:rsidRPr="00A85018">
        <w:rPr>
          <w:rFonts w:ascii="Times New Roman" w:hAnsi="Times New Roman" w:cs="Times New Roman"/>
          <w:bCs/>
          <w:sz w:val="27"/>
          <w:szCs w:val="27"/>
        </w:rPr>
        <w:t>14</w:t>
      </w:r>
      <w:r w:rsidR="000F4C5B">
        <w:rPr>
          <w:rFonts w:ascii="Times New Roman" w:hAnsi="Times New Roman" w:cs="Times New Roman"/>
          <w:bCs/>
          <w:sz w:val="27"/>
          <w:szCs w:val="27"/>
        </w:rPr>
        <w:t> </w:t>
      </w:r>
      <w:r w:rsidR="00A4064A" w:rsidRPr="00A85018">
        <w:rPr>
          <w:rFonts w:ascii="Times New Roman" w:hAnsi="Times New Roman" w:cs="Times New Roman"/>
          <w:bCs/>
          <w:sz w:val="27"/>
          <w:szCs w:val="27"/>
        </w:rPr>
        <w:t>вересня 2023 року № 94/зп-23 (зі змінами)</w:t>
      </w:r>
      <w:r w:rsidRPr="00A85018">
        <w:rPr>
          <w:rFonts w:ascii="Times New Roman" w:hAnsi="Times New Roman" w:cs="Times New Roman"/>
          <w:sz w:val="27"/>
          <w:szCs w:val="27"/>
        </w:rPr>
        <w:t>,</w:t>
      </w:r>
    </w:p>
    <w:p w:rsidR="00FC7910" w:rsidRPr="00A85018" w:rsidRDefault="00FC7910" w:rsidP="00C54EE7">
      <w:pPr>
        <w:autoSpaceDE w:val="0"/>
        <w:autoSpaceDN w:val="0"/>
        <w:adjustRightInd w:val="0"/>
        <w:spacing w:after="0" w:line="235" w:lineRule="auto"/>
        <w:jc w:val="center"/>
        <w:rPr>
          <w:rFonts w:ascii="Times New Roman" w:hAnsi="Times New Roman" w:cs="Times New Roman"/>
          <w:bCs/>
          <w:sz w:val="27"/>
          <w:szCs w:val="27"/>
        </w:rPr>
      </w:pPr>
    </w:p>
    <w:p w:rsidR="008120AE" w:rsidRPr="00A85018" w:rsidRDefault="008120AE" w:rsidP="00C54EE7">
      <w:pPr>
        <w:autoSpaceDE w:val="0"/>
        <w:autoSpaceDN w:val="0"/>
        <w:adjustRightInd w:val="0"/>
        <w:spacing w:after="0" w:line="235" w:lineRule="auto"/>
        <w:jc w:val="center"/>
        <w:rPr>
          <w:rFonts w:ascii="Times New Roman" w:hAnsi="Times New Roman" w:cs="Times New Roman"/>
          <w:bCs/>
          <w:sz w:val="27"/>
          <w:szCs w:val="27"/>
        </w:rPr>
      </w:pPr>
      <w:r w:rsidRPr="00A85018">
        <w:rPr>
          <w:rFonts w:ascii="Times New Roman" w:hAnsi="Times New Roman" w:cs="Times New Roman"/>
          <w:bCs/>
          <w:sz w:val="27"/>
          <w:szCs w:val="27"/>
        </w:rPr>
        <w:t>встановила:</w:t>
      </w:r>
    </w:p>
    <w:p w:rsidR="008120AE" w:rsidRPr="00A85018" w:rsidRDefault="008120AE" w:rsidP="00C54EE7">
      <w:pPr>
        <w:autoSpaceDE w:val="0"/>
        <w:autoSpaceDN w:val="0"/>
        <w:adjustRightInd w:val="0"/>
        <w:spacing w:after="0" w:line="235" w:lineRule="auto"/>
        <w:jc w:val="center"/>
        <w:rPr>
          <w:rFonts w:ascii="Times New Roman" w:hAnsi="Times New Roman" w:cs="Times New Roman"/>
          <w:b/>
          <w:bCs/>
          <w:sz w:val="27"/>
          <w:szCs w:val="27"/>
        </w:rPr>
      </w:pP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A85018">
        <w:rPr>
          <w:rFonts w:ascii="Times New Roman" w:hAnsi="Times New Roman" w:cs="Times New Roman"/>
          <w:b/>
          <w:bCs/>
          <w:sz w:val="27"/>
          <w:szCs w:val="27"/>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w:t>
      </w:r>
      <w:r w:rsidRPr="00A85018">
        <w:rPr>
          <w:rFonts w:ascii="Times New Roman" w:hAnsi="Times New Roman" w:cs="Times New Roman"/>
          <w:bCs/>
          <w:sz w:val="27"/>
          <w:szCs w:val="27"/>
        </w:rPr>
        <w:lastRenderedPageBreak/>
        <w:t xml:space="preserve">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47504F" w:rsidRPr="00A85018">
        <w:rPr>
          <w:rFonts w:ascii="Times New Roman" w:hAnsi="Times New Roman" w:cs="Times New Roman"/>
          <w:bCs/>
          <w:sz w:val="27"/>
          <w:szCs w:val="27"/>
        </w:rPr>
        <w:t>-</w:t>
      </w:r>
      <w:r w:rsidRPr="00A85018">
        <w:rPr>
          <w:rFonts w:ascii="Times New Roman" w:hAnsi="Times New Roman" w:cs="Times New Roman"/>
          <w:bCs/>
          <w:sz w:val="27"/>
          <w:szCs w:val="27"/>
        </w:rPr>
        <w:t>3 Закону (пункт 1.5 Положення про конкурс).</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За змістом частини другої статті 79</w:t>
      </w:r>
      <w:r w:rsidR="0047504F" w:rsidRPr="00A85018">
        <w:rPr>
          <w:rFonts w:ascii="Times New Roman" w:hAnsi="Times New Roman" w:cs="Times New Roman"/>
          <w:bCs/>
          <w:sz w:val="27"/>
          <w:szCs w:val="27"/>
        </w:rPr>
        <w:t>-</w:t>
      </w:r>
      <w:r w:rsidRPr="00A85018">
        <w:rPr>
          <w:rFonts w:ascii="Times New Roman" w:hAnsi="Times New Roman" w:cs="Times New Roman"/>
          <w:bCs/>
          <w:sz w:val="27"/>
          <w:szCs w:val="27"/>
        </w:rPr>
        <w:t xml:space="preserve">3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Частиною другою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lastRenderedPageBreak/>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47504F" w:rsidRPr="00A85018" w:rsidRDefault="0047504F" w:rsidP="0047504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У грудні 2023 року Тарновецький Іван Ігорович звернувся до Комісії із заявою про допуск до участі в конкурсі на зайняття вакантної посади судді апеляційного адміністративного суду, оголошеному рішенням Вищої кваліфікаційної комісії суддів України від 14 вересня 2023 року як особу, яка відповідає вимогам пункту 1 частини статті 28 Закону, а також просив провести стосовно нього кваліфікаційне оцінювання для підтвердження здатності здійснювати правосуддя у відповідному суді.</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A85018">
        <w:rPr>
          <w:rFonts w:ascii="Times New Roman" w:hAnsi="Times New Roman" w:cs="Times New Roman"/>
          <w:b/>
          <w:bCs/>
          <w:sz w:val="27"/>
          <w:szCs w:val="27"/>
        </w:rPr>
        <w:t xml:space="preserve">ІІ. Стислий опис проходження першого та другого етапу кваліфікаційного оцінювання. </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p>
    <w:p w:rsidR="0047504F" w:rsidRPr="00A85018" w:rsidRDefault="0047504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Рішенням Комісії від 04 березня 2024 року № 105/ас-24 Тарновецького І.І. допущено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6E71BE" w:rsidRPr="00A85018" w:rsidRDefault="006E71BE" w:rsidP="006E71BE">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Рішеннями Комісії від 11 вересня 2024 року № 270/зп-24 (зі змінами) та від</w:t>
      </w:r>
      <w:r w:rsidR="000F4C5B">
        <w:rPr>
          <w:rFonts w:ascii="Times New Roman" w:hAnsi="Times New Roman" w:cs="Times New Roman"/>
          <w:bCs/>
          <w:sz w:val="27"/>
          <w:szCs w:val="27"/>
        </w:rPr>
        <w:t> </w:t>
      </w:r>
      <w:r w:rsidRPr="00A85018">
        <w:rPr>
          <w:rFonts w:ascii="Times New Roman" w:hAnsi="Times New Roman" w:cs="Times New Roman"/>
          <w:bCs/>
          <w:sz w:val="27"/>
          <w:szCs w:val="27"/>
        </w:rPr>
        <w:t>09</w:t>
      </w:r>
      <w:r w:rsidR="000F4C5B">
        <w:rPr>
          <w:rFonts w:ascii="Times New Roman" w:hAnsi="Times New Roman" w:cs="Times New Roman"/>
          <w:bCs/>
          <w:sz w:val="27"/>
          <w:szCs w:val="27"/>
        </w:rPr>
        <w:t> </w:t>
      </w:r>
      <w:r w:rsidRPr="00A85018">
        <w:rPr>
          <w:rFonts w:ascii="Times New Roman" w:hAnsi="Times New Roman" w:cs="Times New Roman"/>
          <w:bCs/>
          <w:sz w:val="27"/>
          <w:szCs w:val="27"/>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6E71BE" w:rsidRPr="00A85018" w:rsidRDefault="006E71BE" w:rsidP="006E71BE">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6E71BE" w:rsidRPr="00A85018" w:rsidRDefault="006E71BE" w:rsidP="006E71BE">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Рішенням Комісії від 22 січня 2025 року № 19/зп-25 затверджено кодовані та декодовані результати тестування когнітивних здібностей, складеного 16 січня 2025</w:t>
      </w:r>
      <w:r w:rsidR="000F4C5B">
        <w:rPr>
          <w:rFonts w:ascii="Times New Roman" w:hAnsi="Times New Roman" w:cs="Times New Roman"/>
          <w:bCs/>
          <w:sz w:val="27"/>
          <w:szCs w:val="27"/>
        </w:rPr>
        <w:t> </w:t>
      </w:r>
      <w:r w:rsidRPr="00A85018">
        <w:rPr>
          <w:rFonts w:ascii="Times New Roman" w:hAnsi="Times New Roman" w:cs="Times New Roman"/>
          <w:bCs/>
          <w:sz w:val="27"/>
          <w:szCs w:val="27"/>
        </w:rPr>
        <w:t>року</w:t>
      </w:r>
      <w:r w:rsidR="000F4C5B">
        <w:rPr>
          <w:rFonts w:ascii="Times New Roman" w:hAnsi="Times New Roman" w:cs="Times New Roman"/>
          <w:bCs/>
          <w:sz w:val="27"/>
          <w:szCs w:val="27"/>
        </w:rPr>
        <w:t> </w:t>
      </w:r>
      <w:r w:rsidRPr="00A85018">
        <w:rPr>
          <w:rFonts w:ascii="Times New Roman" w:hAnsi="Times New Roman" w:cs="Times New Roman"/>
          <w:bCs/>
          <w:sz w:val="27"/>
          <w:szCs w:val="27"/>
        </w:rPr>
        <w:t>кандидатами на зайняття вакантних посад суддів в апеляційних адміністративних судах у межах конкурсу, оголошеного рішенням Комісії від</w:t>
      </w:r>
      <w:r w:rsidR="000F4C5B">
        <w:rPr>
          <w:rFonts w:ascii="Times New Roman" w:hAnsi="Times New Roman" w:cs="Times New Roman"/>
          <w:bCs/>
          <w:sz w:val="27"/>
          <w:szCs w:val="27"/>
        </w:rPr>
        <w:t> </w:t>
      </w:r>
      <w:r w:rsidRPr="00A85018">
        <w:rPr>
          <w:rFonts w:ascii="Times New Roman" w:hAnsi="Times New Roman" w:cs="Times New Roman"/>
          <w:bCs/>
          <w:sz w:val="27"/>
          <w:szCs w:val="27"/>
        </w:rPr>
        <w:t>14</w:t>
      </w:r>
      <w:r w:rsidR="000F4C5B">
        <w:rPr>
          <w:rFonts w:ascii="Times New Roman" w:hAnsi="Times New Roman" w:cs="Times New Roman"/>
          <w:bCs/>
          <w:sz w:val="27"/>
          <w:szCs w:val="27"/>
        </w:rPr>
        <w:t> </w:t>
      </w:r>
      <w:r w:rsidRPr="00A85018">
        <w:rPr>
          <w:rFonts w:ascii="Times New Roman" w:hAnsi="Times New Roman" w:cs="Times New Roman"/>
          <w:bCs/>
          <w:sz w:val="27"/>
          <w:szCs w:val="27"/>
        </w:rPr>
        <w:t>вересня 2023 року № 94/зп-23.</w:t>
      </w:r>
    </w:p>
    <w:p w:rsidR="006E71BE" w:rsidRPr="00A85018" w:rsidRDefault="006E71BE" w:rsidP="006E71BE">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lastRenderedPageBreak/>
        <w:t>Рішеннями Комісії від 12 березня 2025 року № 48/зп-25 та № 49/зп-25 затверджено кодовані та декодовані результати практичного завдання, виконаного 24</w:t>
      </w:r>
      <w:r w:rsidR="000F4C5B">
        <w:rPr>
          <w:rFonts w:ascii="Times New Roman" w:hAnsi="Times New Roman" w:cs="Times New Roman"/>
          <w:bCs/>
          <w:sz w:val="27"/>
          <w:szCs w:val="27"/>
        </w:rPr>
        <w:t> </w:t>
      </w:r>
      <w:r w:rsidRPr="00A85018">
        <w:rPr>
          <w:rFonts w:ascii="Times New Roman" w:hAnsi="Times New Roman" w:cs="Times New Roman"/>
          <w:bCs/>
          <w:sz w:val="27"/>
          <w:szCs w:val="27"/>
        </w:rPr>
        <w:t>та</w:t>
      </w:r>
      <w:r w:rsidR="000F4C5B">
        <w:rPr>
          <w:rFonts w:ascii="Times New Roman" w:hAnsi="Times New Roman" w:cs="Times New Roman"/>
          <w:bCs/>
          <w:sz w:val="27"/>
          <w:szCs w:val="27"/>
        </w:rPr>
        <w:t> </w:t>
      </w:r>
      <w:r w:rsidRPr="00A85018">
        <w:rPr>
          <w:rFonts w:ascii="Times New Roman" w:hAnsi="Times New Roman" w:cs="Times New Roman"/>
          <w:bCs/>
          <w:sz w:val="27"/>
          <w:szCs w:val="27"/>
        </w:rPr>
        <w:t>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w:t>
      </w:r>
      <w:r w:rsidR="000F4C5B">
        <w:rPr>
          <w:rFonts w:ascii="Times New Roman" w:hAnsi="Times New Roman" w:cs="Times New Roman"/>
          <w:bCs/>
          <w:sz w:val="27"/>
          <w:szCs w:val="27"/>
        </w:rPr>
        <w:t> </w:t>
      </w:r>
      <w:r w:rsidRPr="00A85018">
        <w:rPr>
          <w:rFonts w:ascii="Times New Roman" w:hAnsi="Times New Roman" w:cs="Times New Roman"/>
          <w:bCs/>
          <w:sz w:val="27"/>
          <w:szCs w:val="27"/>
        </w:rPr>
        <w:t>14</w:t>
      </w:r>
      <w:r w:rsidR="000F4C5B">
        <w:rPr>
          <w:rFonts w:ascii="Times New Roman" w:hAnsi="Times New Roman" w:cs="Times New Roman"/>
          <w:bCs/>
          <w:sz w:val="27"/>
          <w:szCs w:val="27"/>
        </w:rPr>
        <w:t> </w:t>
      </w:r>
      <w:r w:rsidRPr="00A85018">
        <w:rPr>
          <w:rFonts w:ascii="Times New Roman" w:hAnsi="Times New Roman" w:cs="Times New Roman"/>
          <w:bCs/>
          <w:sz w:val="27"/>
          <w:szCs w:val="27"/>
        </w:rPr>
        <w:t>вересня 2023 року № 94/зп-23.</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0F4C5B">
        <w:rPr>
          <w:rFonts w:ascii="Times New Roman" w:hAnsi="Times New Roman" w:cs="Times New Roman"/>
          <w:bCs/>
          <w:sz w:val="27"/>
          <w:szCs w:val="27"/>
        </w:rPr>
        <w:t> </w:t>
      </w:r>
      <w:r w:rsidRPr="00A85018">
        <w:rPr>
          <w:rFonts w:ascii="Times New Roman" w:hAnsi="Times New Roman" w:cs="Times New Roman"/>
          <w:bCs/>
          <w:sz w:val="27"/>
          <w:szCs w:val="27"/>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w:t>
      </w:r>
      <w:r w:rsidR="000F4C5B">
        <w:rPr>
          <w:rFonts w:ascii="Times New Roman" w:hAnsi="Times New Roman" w:cs="Times New Roman"/>
          <w:bCs/>
          <w:sz w:val="27"/>
          <w:szCs w:val="27"/>
        </w:rPr>
        <w:t> </w:t>
      </w:r>
      <w:r w:rsidRPr="00A85018">
        <w:rPr>
          <w:rFonts w:ascii="Times New Roman" w:hAnsi="Times New Roman" w:cs="Times New Roman"/>
          <w:bCs/>
          <w:sz w:val="27"/>
          <w:szCs w:val="27"/>
        </w:rPr>
        <w:t>14</w:t>
      </w:r>
      <w:r w:rsidR="000F4C5B">
        <w:rPr>
          <w:rFonts w:ascii="Times New Roman" w:hAnsi="Times New Roman" w:cs="Times New Roman"/>
          <w:bCs/>
          <w:sz w:val="27"/>
          <w:szCs w:val="27"/>
        </w:rPr>
        <w:t> </w:t>
      </w:r>
      <w:r w:rsidRPr="00A85018">
        <w:rPr>
          <w:rFonts w:ascii="Times New Roman" w:hAnsi="Times New Roman" w:cs="Times New Roman"/>
          <w:bCs/>
          <w:sz w:val="27"/>
          <w:szCs w:val="27"/>
        </w:rPr>
        <w:t>вересня 2023 року № 94/зп-23, від 23 листопада 2023 року № 145/зп-23.</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З огляду на зазначене вище </w:t>
      </w:r>
      <w:r w:rsidR="00A92DFE" w:rsidRPr="00A85018">
        <w:rPr>
          <w:rFonts w:ascii="Times New Roman" w:hAnsi="Times New Roman" w:cs="Times New Roman"/>
          <w:bCs/>
          <w:sz w:val="27"/>
          <w:szCs w:val="27"/>
        </w:rPr>
        <w:t>Тарновецький І.І</w:t>
      </w:r>
      <w:r w:rsidRPr="00A85018">
        <w:rPr>
          <w:rFonts w:ascii="Times New Roman" w:hAnsi="Times New Roman" w:cs="Times New Roman"/>
          <w:bCs/>
          <w:sz w:val="27"/>
          <w:szCs w:val="27"/>
        </w:rPr>
        <w:t>. отрима</w:t>
      </w:r>
      <w:r w:rsidR="00A92DFE" w:rsidRPr="00A85018">
        <w:rPr>
          <w:rFonts w:ascii="Times New Roman" w:hAnsi="Times New Roman" w:cs="Times New Roman"/>
          <w:bCs/>
          <w:sz w:val="27"/>
          <w:szCs w:val="27"/>
        </w:rPr>
        <w:t>в</w:t>
      </w:r>
      <w:r w:rsidRPr="00A85018">
        <w:rPr>
          <w:rFonts w:ascii="Times New Roman" w:hAnsi="Times New Roman" w:cs="Times New Roman"/>
          <w:bCs/>
          <w:sz w:val="27"/>
          <w:szCs w:val="27"/>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1) когнітивні здібності – 4</w:t>
      </w:r>
      <w:r w:rsidR="00A92DFE" w:rsidRPr="00A85018">
        <w:rPr>
          <w:rFonts w:ascii="Times New Roman" w:hAnsi="Times New Roman" w:cs="Times New Roman"/>
          <w:bCs/>
          <w:sz w:val="27"/>
          <w:szCs w:val="27"/>
        </w:rPr>
        <w:t>4</w:t>
      </w:r>
      <w:r w:rsidRPr="00A85018">
        <w:rPr>
          <w:rFonts w:ascii="Times New Roman" w:hAnsi="Times New Roman" w:cs="Times New Roman"/>
          <w:bCs/>
          <w:sz w:val="27"/>
          <w:szCs w:val="27"/>
        </w:rPr>
        <w:t>,</w:t>
      </w:r>
      <w:r w:rsidR="00A92DFE" w:rsidRPr="00A85018">
        <w:rPr>
          <w:rFonts w:ascii="Times New Roman" w:hAnsi="Times New Roman" w:cs="Times New Roman"/>
          <w:bCs/>
          <w:sz w:val="27"/>
          <w:szCs w:val="27"/>
        </w:rPr>
        <w:t>7</w:t>
      </w:r>
      <w:r w:rsidRPr="00A85018">
        <w:rPr>
          <w:rFonts w:ascii="Times New Roman" w:hAnsi="Times New Roman" w:cs="Times New Roman"/>
          <w:bCs/>
          <w:sz w:val="27"/>
          <w:szCs w:val="27"/>
        </w:rPr>
        <w:t xml:space="preserve"> бал</w:t>
      </w:r>
      <w:r w:rsidR="00A92DFE" w:rsidRPr="00A85018">
        <w:rPr>
          <w:rFonts w:ascii="Times New Roman" w:hAnsi="Times New Roman" w:cs="Times New Roman"/>
          <w:bCs/>
          <w:sz w:val="27"/>
          <w:szCs w:val="27"/>
        </w:rPr>
        <w:t>а</w:t>
      </w:r>
      <w:r w:rsidRPr="00A85018">
        <w:rPr>
          <w:rFonts w:ascii="Times New Roman" w:hAnsi="Times New Roman" w:cs="Times New Roman"/>
          <w:bCs/>
          <w:sz w:val="27"/>
          <w:szCs w:val="27"/>
        </w:rPr>
        <w:t>; 2) знання історії української державності</w:t>
      </w:r>
      <w:r w:rsidR="00A92DFE" w:rsidRPr="00A85018">
        <w:rPr>
          <w:rFonts w:ascii="Times New Roman" w:hAnsi="Times New Roman" w:cs="Times New Roman"/>
          <w:bCs/>
          <w:sz w:val="27"/>
          <w:szCs w:val="27"/>
        </w:rPr>
        <w:t xml:space="preserve"> –</w:t>
      </w:r>
      <w:r w:rsidRPr="00A85018">
        <w:rPr>
          <w:rFonts w:ascii="Times New Roman" w:hAnsi="Times New Roman" w:cs="Times New Roman"/>
          <w:bCs/>
          <w:sz w:val="27"/>
          <w:szCs w:val="27"/>
        </w:rPr>
        <w:t xml:space="preserve"> 40 балів; 3) знання у сфері права та зі спеціалізації суду</w:t>
      </w:r>
      <w:r w:rsidR="00A92DFE" w:rsidRPr="00A85018">
        <w:rPr>
          <w:rFonts w:ascii="Times New Roman" w:hAnsi="Times New Roman" w:cs="Times New Roman"/>
          <w:bCs/>
          <w:sz w:val="27"/>
          <w:szCs w:val="27"/>
        </w:rPr>
        <w:t xml:space="preserve"> –</w:t>
      </w:r>
      <w:r w:rsidRPr="00A85018">
        <w:rPr>
          <w:rFonts w:ascii="Times New Roman" w:hAnsi="Times New Roman" w:cs="Times New Roman"/>
          <w:bCs/>
          <w:sz w:val="27"/>
          <w:szCs w:val="27"/>
        </w:rPr>
        <w:t xml:space="preserve"> 12</w:t>
      </w:r>
      <w:r w:rsidR="00A92DFE" w:rsidRPr="00A85018">
        <w:rPr>
          <w:rFonts w:ascii="Times New Roman" w:hAnsi="Times New Roman" w:cs="Times New Roman"/>
          <w:bCs/>
          <w:sz w:val="27"/>
          <w:szCs w:val="27"/>
        </w:rPr>
        <w:t xml:space="preserve">2 </w:t>
      </w:r>
      <w:r w:rsidRPr="00A85018">
        <w:rPr>
          <w:rFonts w:ascii="Times New Roman" w:hAnsi="Times New Roman" w:cs="Times New Roman"/>
          <w:bCs/>
          <w:sz w:val="27"/>
          <w:szCs w:val="27"/>
        </w:rPr>
        <w:t>бал</w:t>
      </w:r>
      <w:r w:rsidR="00A92DFE" w:rsidRPr="00A85018">
        <w:rPr>
          <w:rFonts w:ascii="Times New Roman" w:hAnsi="Times New Roman" w:cs="Times New Roman"/>
          <w:bCs/>
          <w:sz w:val="27"/>
          <w:szCs w:val="27"/>
        </w:rPr>
        <w:t>и</w:t>
      </w:r>
      <w:r w:rsidRPr="00A85018">
        <w:rPr>
          <w:rFonts w:ascii="Times New Roman" w:hAnsi="Times New Roman" w:cs="Times New Roman"/>
          <w:bCs/>
          <w:sz w:val="27"/>
          <w:szCs w:val="27"/>
        </w:rPr>
        <w:t xml:space="preserve">; 4) здатність практичного застосування знань у сфері права у суді відповідного рівня та спеціалізації </w:t>
      </w:r>
      <w:r w:rsidR="00A92DFE" w:rsidRPr="00A85018">
        <w:rPr>
          <w:rFonts w:ascii="Times New Roman" w:hAnsi="Times New Roman" w:cs="Times New Roman"/>
          <w:bCs/>
          <w:sz w:val="27"/>
          <w:szCs w:val="27"/>
        </w:rPr>
        <w:t>–</w:t>
      </w:r>
      <w:r w:rsidR="00A85018">
        <w:rPr>
          <w:rFonts w:ascii="Times New Roman" w:hAnsi="Times New Roman" w:cs="Times New Roman"/>
          <w:bCs/>
          <w:sz w:val="27"/>
          <w:szCs w:val="27"/>
        </w:rPr>
        <w:t xml:space="preserve"> </w:t>
      </w:r>
      <w:r w:rsidRPr="00A85018">
        <w:rPr>
          <w:rFonts w:ascii="Times New Roman" w:hAnsi="Times New Roman" w:cs="Times New Roman"/>
          <w:bCs/>
          <w:sz w:val="27"/>
          <w:szCs w:val="27"/>
        </w:rPr>
        <w:t>12</w:t>
      </w:r>
      <w:r w:rsidR="00A92DFE" w:rsidRPr="00A85018">
        <w:rPr>
          <w:rFonts w:ascii="Times New Roman" w:hAnsi="Times New Roman" w:cs="Times New Roman"/>
          <w:bCs/>
          <w:sz w:val="27"/>
          <w:szCs w:val="27"/>
        </w:rPr>
        <w:t>5</w:t>
      </w:r>
      <w:r w:rsidRPr="00A85018">
        <w:rPr>
          <w:rFonts w:ascii="Times New Roman" w:hAnsi="Times New Roman" w:cs="Times New Roman"/>
          <w:bCs/>
          <w:sz w:val="27"/>
          <w:szCs w:val="27"/>
        </w:rPr>
        <w:t>,5</w:t>
      </w:r>
      <w:r w:rsidR="000F4C5B">
        <w:rPr>
          <w:rFonts w:ascii="Times New Roman" w:hAnsi="Times New Roman" w:cs="Times New Roman"/>
          <w:bCs/>
          <w:sz w:val="27"/>
          <w:szCs w:val="27"/>
        </w:rPr>
        <w:t> </w:t>
      </w:r>
      <w:r w:rsidRPr="00A85018">
        <w:rPr>
          <w:rFonts w:ascii="Times New Roman" w:hAnsi="Times New Roman" w:cs="Times New Roman"/>
          <w:bCs/>
          <w:sz w:val="27"/>
          <w:szCs w:val="27"/>
        </w:rPr>
        <w:t>бал</w:t>
      </w:r>
      <w:r w:rsidR="00A92DFE" w:rsidRPr="00A85018">
        <w:rPr>
          <w:rFonts w:ascii="Times New Roman" w:hAnsi="Times New Roman" w:cs="Times New Roman"/>
          <w:bCs/>
          <w:sz w:val="27"/>
          <w:szCs w:val="27"/>
        </w:rPr>
        <w:t>а</w:t>
      </w:r>
      <w:r w:rsidRPr="00A85018">
        <w:rPr>
          <w:rFonts w:ascii="Times New Roman" w:hAnsi="Times New Roman" w:cs="Times New Roman"/>
          <w:bCs/>
          <w:sz w:val="27"/>
          <w:szCs w:val="27"/>
        </w:rPr>
        <w:t xml:space="preserve">. Загальний результат за критерієм професійної компетентності </w:t>
      </w:r>
      <w:r w:rsidR="00A92DFE" w:rsidRPr="00A85018">
        <w:rPr>
          <w:rFonts w:ascii="Times New Roman" w:hAnsi="Times New Roman" w:cs="Times New Roman"/>
          <w:bCs/>
          <w:sz w:val="27"/>
          <w:szCs w:val="27"/>
        </w:rPr>
        <w:t xml:space="preserve">становить </w:t>
      </w:r>
      <w:r w:rsidRPr="00A85018">
        <w:rPr>
          <w:rFonts w:ascii="Times New Roman" w:hAnsi="Times New Roman" w:cs="Times New Roman"/>
          <w:bCs/>
          <w:sz w:val="27"/>
          <w:szCs w:val="27"/>
        </w:rPr>
        <w:t>3</w:t>
      </w:r>
      <w:r w:rsidR="00A92DFE" w:rsidRPr="00A85018">
        <w:rPr>
          <w:rFonts w:ascii="Times New Roman" w:hAnsi="Times New Roman" w:cs="Times New Roman"/>
          <w:bCs/>
          <w:sz w:val="27"/>
          <w:szCs w:val="27"/>
        </w:rPr>
        <w:t>32,2 бала</w:t>
      </w:r>
      <w:r w:rsidRPr="00A85018">
        <w:rPr>
          <w:rFonts w:ascii="Times New Roman" w:hAnsi="Times New Roman" w:cs="Times New Roman"/>
          <w:bCs/>
          <w:sz w:val="27"/>
          <w:szCs w:val="27"/>
        </w:rPr>
        <w:t xml:space="preserve">. </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Згідно з рішенням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0F4C5B">
        <w:rPr>
          <w:rFonts w:ascii="Times New Roman" w:hAnsi="Times New Roman" w:cs="Times New Roman"/>
          <w:bCs/>
          <w:sz w:val="27"/>
          <w:szCs w:val="27"/>
        </w:rPr>
        <w:t xml:space="preserve"> </w:t>
      </w:r>
      <w:r w:rsidRPr="00A85018">
        <w:rPr>
          <w:rFonts w:ascii="Times New Roman" w:hAnsi="Times New Roman" w:cs="Times New Roman"/>
          <w:bCs/>
          <w:sz w:val="27"/>
          <w:szCs w:val="27"/>
        </w:rPr>
        <w:t>№</w:t>
      </w:r>
      <w:r w:rsidR="000F4C5B">
        <w:rPr>
          <w:rFonts w:ascii="Times New Roman" w:hAnsi="Times New Roman" w:cs="Times New Roman"/>
          <w:bCs/>
          <w:sz w:val="27"/>
          <w:szCs w:val="27"/>
        </w:rPr>
        <w:t> </w:t>
      </w:r>
      <w:r w:rsidRPr="00A85018">
        <w:rPr>
          <w:rFonts w:ascii="Times New Roman" w:hAnsi="Times New Roman" w:cs="Times New Roman"/>
          <w:bCs/>
          <w:sz w:val="27"/>
          <w:szCs w:val="27"/>
        </w:rPr>
        <w:t xml:space="preserve">94/зп-23 (зі змінами), допущено 67 кандидатів на посади суддів апеляційних адміністративних судів, які успішно склали кваліфікаційний іспит, зокрема </w:t>
      </w:r>
      <w:r w:rsidR="00A92DFE" w:rsidRPr="00A85018">
        <w:rPr>
          <w:rFonts w:ascii="Times New Roman" w:hAnsi="Times New Roman" w:cs="Times New Roman"/>
          <w:bCs/>
          <w:sz w:val="27"/>
          <w:szCs w:val="27"/>
        </w:rPr>
        <w:t>Тарновецького Івана Ігоровича</w:t>
      </w:r>
      <w:r w:rsidRPr="00A85018">
        <w:rPr>
          <w:rFonts w:ascii="Times New Roman" w:hAnsi="Times New Roman" w:cs="Times New Roman"/>
          <w:bCs/>
          <w:sz w:val="27"/>
          <w:szCs w:val="27"/>
        </w:rPr>
        <w:t>.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Першої палати.</w:t>
      </w:r>
    </w:p>
    <w:p w:rsidR="00A92DFE" w:rsidRPr="00A85018" w:rsidRDefault="00A92DFE"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Відповідно до протоколу повторного розподілу між членами Комісії від</w:t>
      </w:r>
      <w:r w:rsidR="000F4C5B">
        <w:rPr>
          <w:rFonts w:ascii="Times New Roman" w:hAnsi="Times New Roman" w:cs="Times New Roman"/>
          <w:bCs/>
          <w:sz w:val="27"/>
          <w:szCs w:val="27"/>
        </w:rPr>
        <w:t> </w:t>
      </w:r>
      <w:r w:rsidRPr="00A85018">
        <w:rPr>
          <w:rFonts w:ascii="Times New Roman" w:hAnsi="Times New Roman" w:cs="Times New Roman"/>
          <w:bCs/>
          <w:sz w:val="27"/>
          <w:szCs w:val="27"/>
        </w:rPr>
        <w:t>13</w:t>
      </w:r>
      <w:r w:rsidR="000F4C5B">
        <w:rPr>
          <w:rFonts w:ascii="Times New Roman" w:hAnsi="Times New Roman" w:cs="Times New Roman"/>
          <w:bCs/>
          <w:sz w:val="27"/>
          <w:szCs w:val="27"/>
        </w:rPr>
        <w:t> </w:t>
      </w:r>
      <w:r w:rsidRPr="00A85018">
        <w:rPr>
          <w:rFonts w:ascii="Times New Roman" w:hAnsi="Times New Roman" w:cs="Times New Roman"/>
          <w:bCs/>
          <w:sz w:val="27"/>
          <w:szCs w:val="27"/>
        </w:rPr>
        <w:t>березня 2025 року доповідачем за результатами розгляду матеріалів кандидата на посаду судді апеляційного адміністративного суду Тарновецького І.І. визначено члена Комісії Кидисюка Р.А.</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11 квітня 2025 року Комісія звернулась до кандидатів на посаду судді апеляційного адміністративного суду з листом № 21-2602/25, у якому </w:t>
      </w:r>
      <w:r w:rsidRPr="00A85018">
        <w:rPr>
          <w:rFonts w:ascii="Times New Roman" w:hAnsi="Times New Roman" w:cs="Times New Roman"/>
          <w:bCs/>
          <w:sz w:val="27"/>
          <w:szCs w:val="27"/>
        </w:rPr>
        <w:lastRenderedPageBreak/>
        <w:t xml:space="preserve">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При цьому увагу кандидатів було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24 квітня 2025 року до Комісії надійшли пояснення та докази від кандидата </w:t>
      </w:r>
      <w:r w:rsidR="00A92DFE" w:rsidRPr="00A85018">
        <w:rPr>
          <w:rFonts w:ascii="Times New Roman" w:hAnsi="Times New Roman" w:cs="Times New Roman"/>
          <w:bCs/>
          <w:sz w:val="27"/>
          <w:szCs w:val="27"/>
        </w:rPr>
        <w:t>Тарновецького І.І.</w:t>
      </w:r>
      <w:r w:rsidRPr="00A85018">
        <w:rPr>
          <w:rFonts w:ascii="Times New Roman" w:hAnsi="Times New Roman" w:cs="Times New Roman"/>
          <w:bCs/>
          <w:sz w:val="27"/>
          <w:szCs w:val="27"/>
        </w:rPr>
        <w:t xml:space="preserve"> на виконання листа Комісії від 11 квітня 2025 ро</w:t>
      </w:r>
      <w:r w:rsidR="00A92DFE" w:rsidRPr="00A85018">
        <w:rPr>
          <w:rFonts w:ascii="Times New Roman" w:hAnsi="Times New Roman" w:cs="Times New Roman"/>
          <w:bCs/>
          <w:sz w:val="27"/>
          <w:szCs w:val="27"/>
        </w:rPr>
        <w:t>ку № 21-2602/25. Кандидат надав</w:t>
      </w:r>
      <w:r w:rsidRPr="00A85018">
        <w:rPr>
          <w:rFonts w:ascii="Times New Roman" w:hAnsi="Times New Roman" w:cs="Times New Roman"/>
          <w:bCs/>
          <w:sz w:val="27"/>
          <w:szCs w:val="27"/>
        </w:rPr>
        <w:t xml:space="preserve"> інформацію, яка, на </w:t>
      </w:r>
      <w:r w:rsidR="00A92DFE" w:rsidRPr="00A85018">
        <w:rPr>
          <w:rFonts w:ascii="Times New Roman" w:hAnsi="Times New Roman" w:cs="Times New Roman"/>
          <w:bCs/>
          <w:sz w:val="27"/>
          <w:szCs w:val="27"/>
        </w:rPr>
        <w:t>його думку, підтверджує</w:t>
      </w:r>
      <w:r w:rsidRPr="00A85018">
        <w:rPr>
          <w:rFonts w:ascii="Times New Roman" w:hAnsi="Times New Roman" w:cs="Times New Roman"/>
          <w:bCs/>
          <w:sz w:val="27"/>
          <w:szCs w:val="27"/>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A92DFE" w:rsidRPr="00A85018" w:rsidRDefault="00A92DFE" w:rsidP="00A92DFE">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Громадською радою доброчесності (далі – ГРД) 05 травня 2025 року затверджено висновок про невідповідність кандидата на посаду судді критеріям доброчесності та професійної етики.</w:t>
      </w:r>
    </w:p>
    <w:p w:rsidR="00902CAA" w:rsidRPr="00A85018" w:rsidRDefault="00A92DFE"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У вказаному рішенні зазначено, що, проаналізувавши інформацію щодо кандидата на посаду судді Тарновецького І.І., ГРД виявлено дані, які дають підстави для висновку про невідповідність судді критеріям добр</w:t>
      </w:r>
      <w:r w:rsidR="00902CAA" w:rsidRPr="00A85018">
        <w:rPr>
          <w:rFonts w:ascii="Times New Roman" w:hAnsi="Times New Roman" w:cs="Times New Roman"/>
          <w:bCs/>
          <w:sz w:val="27"/>
          <w:szCs w:val="27"/>
        </w:rPr>
        <w:t xml:space="preserve">очесності та професійної етики. </w:t>
      </w:r>
    </w:p>
    <w:p w:rsidR="00A92DFE" w:rsidRPr="00A85018" w:rsidRDefault="00A92DFE" w:rsidP="00A92DFE">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Обставини, які стали підставою для висновку:</w:t>
      </w:r>
    </w:p>
    <w:p w:rsidR="00902CAA" w:rsidRPr="00A85018" w:rsidRDefault="00902CAA" w:rsidP="007F461C">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1. Суддя у деклараціях особи, уповноваженої на виконання функцій держави та місцевого самоврядування (далі – декларація), вказав, що його колишня дружина відмовилася надавати йому інформацію про наявне у неї нерухоме майно, суддя зазначив «інші об’єкти нерухомості» та «ч</w:t>
      </w:r>
      <w:r w:rsidR="007F461C" w:rsidRPr="00A85018">
        <w:rPr>
          <w:rFonts w:ascii="Times New Roman" w:hAnsi="Times New Roman" w:cs="Times New Roman"/>
          <w:bCs/>
          <w:sz w:val="27"/>
          <w:szCs w:val="27"/>
        </w:rPr>
        <w:t>лен сім’ї не надав інформацію»</w:t>
      </w:r>
      <w:r w:rsidRPr="00A85018">
        <w:rPr>
          <w:rFonts w:ascii="Times New Roman" w:hAnsi="Times New Roman" w:cs="Times New Roman"/>
          <w:bCs/>
          <w:sz w:val="27"/>
          <w:szCs w:val="27"/>
        </w:rPr>
        <w:t>;</w:t>
      </w:r>
    </w:p>
    <w:p w:rsidR="00902CAA" w:rsidRPr="00A85018" w:rsidRDefault="00902CAA"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2. Суддя у деклараціях за 2012–2015 роки не декларував: будинок площею 218</w:t>
      </w:r>
      <w:r w:rsidR="000F4C5B">
        <w:rPr>
          <w:rFonts w:ascii="Times New Roman" w:hAnsi="Times New Roman" w:cs="Times New Roman"/>
          <w:bCs/>
          <w:sz w:val="27"/>
          <w:szCs w:val="27"/>
        </w:rPr>
        <w:t> </w:t>
      </w:r>
      <w:r w:rsidRPr="00A85018">
        <w:rPr>
          <w:rFonts w:ascii="Times New Roman" w:hAnsi="Times New Roman" w:cs="Times New Roman"/>
          <w:bCs/>
          <w:sz w:val="27"/>
          <w:szCs w:val="27"/>
        </w:rPr>
        <w:t>м2,</w:t>
      </w:r>
      <w:r w:rsidR="000F4C5B">
        <w:rPr>
          <w:rFonts w:ascii="Times New Roman" w:hAnsi="Times New Roman" w:cs="Times New Roman"/>
          <w:bCs/>
          <w:sz w:val="27"/>
          <w:szCs w:val="27"/>
        </w:rPr>
        <w:t> </w:t>
      </w:r>
      <w:r w:rsidRPr="00A85018">
        <w:rPr>
          <w:rFonts w:ascii="Times New Roman" w:hAnsi="Times New Roman" w:cs="Times New Roman"/>
          <w:bCs/>
          <w:sz w:val="27"/>
          <w:szCs w:val="27"/>
        </w:rPr>
        <w:t>який його дружина отримала за договором дарування від 06 травня 2011</w:t>
      </w:r>
      <w:r w:rsidR="000F4C5B">
        <w:rPr>
          <w:rFonts w:ascii="Times New Roman" w:hAnsi="Times New Roman" w:cs="Times New Roman"/>
          <w:bCs/>
          <w:sz w:val="27"/>
          <w:szCs w:val="27"/>
        </w:rPr>
        <w:t> </w:t>
      </w:r>
      <w:r w:rsidRPr="00A85018">
        <w:rPr>
          <w:rFonts w:ascii="Times New Roman" w:hAnsi="Times New Roman" w:cs="Times New Roman"/>
          <w:bCs/>
          <w:sz w:val="27"/>
          <w:szCs w:val="27"/>
        </w:rPr>
        <w:t>року,</w:t>
      </w:r>
      <w:r w:rsidR="000F4C5B">
        <w:rPr>
          <w:rFonts w:ascii="Times New Roman" w:hAnsi="Times New Roman" w:cs="Times New Roman"/>
          <w:bCs/>
          <w:sz w:val="27"/>
          <w:szCs w:val="27"/>
        </w:rPr>
        <w:t> </w:t>
      </w:r>
      <w:r w:rsidRPr="00A85018">
        <w:rPr>
          <w:rFonts w:ascii="Times New Roman" w:hAnsi="Times New Roman" w:cs="Times New Roman"/>
          <w:bCs/>
          <w:sz w:val="27"/>
          <w:szCs w:val="27"/>
        </w:rPr>
        <w:t>будинок у м. Хмельницький площею 92,7 (або 97,2) м2, який дружина набула у 2004 році за договором дарування та земельну ділянку 600 м2, яка була подарована батьком дружини судді 06 травня 2011 року;</w:t>
      </w:r>
    </w:p>
    <w:p w:rsidR="00902CAA" w:rsidRPr="00A85018" w:rsidRDefault="00902CAA"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3. Суддя не вказав в декларації за 2018 рік подарунок від матері в розмірі 60</w:t>
      </w:r>
      <w:r w:rsidR="000F4C5B">
        <w:rPr>
          <w:rFonts w:ascii="Times New Roman" w:hAnsi="Times New Roman" w:cs="Times New Roman"/>
          <w:bCs/>
          <w:sz w:val="27"/>
          <w:szCs w:val="27"/>
        </w:rPr>
        <w:t> </w:t>
      </w:r>
      <w:r w:rsidRPr="00A85018">
        <w:rPr>
          <w:rFonts w:ascii="Times New Roman" w:hAnsi="Times New Roman" w:cs="Times New Roman"/>
          <w:bCs/>
          <w:sz w:val="27"/>
          <w:szCs w:val="27"/>
        </w:rPr>
        <w:t>000,00</w:t>
      </w:r>
      <w:r w:rsidR="000F4C5B">
        <w:rPr>
          <w:rFonts w:ascii="Times New Roman" w:hAnsi="Times New Roman" w:cs="Times New Roman"/>
          <w:bCs/>
          <w:sz w:val="27"/>
          <w:szCs w:val="27"/>
        </w:rPr>
        <w:t> </w:t>
      </w:r>
      <w:r w:rsidRPr="00A85018">
        <w:rPr>
          <w:rFonts w:ascii="Times New Roman" w:hAnsi="Times New Roman" w:cs="Times New Roman"/>
          <w:bCs/>
          <w:sz w:val="27"/>
          <w:szCs w:val="27"/>
        </w:rPr>
        <w:t>грн та 20 000,00 грн для купівлі автомобіля;</w:t>
      </w:r>
    </w:p>
    <w:p w:rsidR="00902CAA" w:rsidRPr="00A85018" w:rsidRDefault="00902CAA"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4. У декларації за 2022 рік суддя не вказав вартість гаража площею 25,2 м2 у м.</w:t>
      </w:r>
      <w:r w:rsidR="000F4C5B">
        <w:rPr>
          <w:rFonts w:ascii="Times New Roman" w:hAnsi="Times New Roman" w:cs="Times New Roman"/>
          <w:bCs/>
          <w:sz w:val="27"/>
          <w:szCs w:val="27"/>
        </w:rPr>
        <w:t> </w:t>
      </w:r>
      <w:r w:rsidRPr="00A85018">
        <w:rPr>
          <w:rFonts w:ascii="Times New Roman" w:hAnsi="Times New Roman" w:cs="Times New Roman"/>
          <w:bCs/>
          <w:sz w:val="27"/>
          <w:szCs w:val="27"/>
        </w:rPr>
        <w:t>Івано-Франківськ, придбаного 10 червня 2022 року.</w:t>
      </w:r>
    </w:p>
    <w:p w:rsidR="00902CAA" w:rsidRPr="00A85018" w:rsidRDefault="00902CAA" w:rsidP="00A92DFE">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Також, ГРД </w:t>
      </w:r>
      <w:r w:rsidR="0087253D" w:rsidRPr="00A85018">
        <w:rPr>
          <w:rFonts w:ascii="Times New Roman" w:hAnsi="Times New Roman" w:cs="Times New Roman"/>
          <w:bCs/>
          <w:sz w:val="27"/>
          <w:szCs w:val="27"/>
        </w:rPr>
        <w:t>надано інформацію, яка</w:t>
      </w:r>
      <w:r w:rsidRPr="00A85018">
        <w:rPr>
          <w:rFonts w:ascii="Times New Roman" w:hAnsi="Times New Roman" w:cs="Times New Roman"/>
          <w:bCs/>
          <w:sz w:val="27"/>
          <w:szCs w:val="27"/>
        </w:rPr>
        <w:t xml:space="preserve"> не є самостійною підставою для висновку, однак характеризу</w:t>
      </w:r>
      <w:r w:rsidR="0087253D" w:rsidRPr="00A85018">
        <w:rPr>
          <w:rFonts w:ascii="Times New Roman" w:hAnsi="Times New Roman" w:cs="Times New Roman"/>
          <w:bCs/>
          <w:sz w:val="27"/>
          <w:szCs w:val="27"/>
        </w:rPr>
        <w:t>є кандидата та може бути використана</w:t>
      </w:r>
      <w:r w:rsidRPr="00A85018">
        <w:rPr>
          <w:rFonts w:ascii="Times New Roman" w:hAnsi="Times New Roman" w:cs="Times New Roman"/>
          <w:bCs/>
          <w:sz w:val="27"/>
          <w:szCs w:val="27"/>
        </w:rPr>
        <w:t xml:space="preserve"> під час його оцінювання.</w:t>
      </w:r>
    </w:p>
    <w:p w:rsidR="00A92DFE" w:rsidRPr="00A85018" w:rsidRDefault="00A92DFE" w:rsidP="00A92DFE">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Комісією надіслано кандидату копію відповідного висновку ГРД для можливості ознайомлення та запропоновано в разі необхідності надати додаткові пояснення.</w:t>
      </w:r>
    </w:p>
    <w:p w:rsidR="00A92DFE" w:rsidRPr="00A85018" w:rsidRDefault="00A92DFE" w:rsidP="00A92DFE">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08 травня 2025 року кандидатом надіслано на адресу Комісії письмові пояснення та надано копії підтверджуючих документів, а 12 травня 2025 року – додаткові пояснення з долученими документами. </w:t>
      </w:r>
    </w:p>
    <w:p w:rsidR="00A92DFE" w:rsidRPr="00A85018" w:rsidRDefault="00A92DFE" w:rsidP="00A92DFE">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lastRenderedPageBreak/>
        <w:t>Комісією у складі Першої палати проведено співбесіду з кандидатом 15</w:t>
      </w:r>
      <w:r w:rsidR="000F4C5B">
        <w:rPr>
          <w:rFonts w:ascii="Times New Roman" w:hAnsi="Times New Roman" w:cs="Times New Roman"/>
          <w:bCs/>
          <w:sz w:val="27"/>
          <w:szCs w:val="27"/>
        </w:rPr>
        <w:t> </w:t>
      </w:r>
      <w:r w:rsidRPr="00A85018">
        <w:rPr>
          <w:rFonts w:ascii="Times New Roman" w:hAnsi="Times New Roman" w:cs="Times New Roman"/>
          <w:bCs/>
          <w:sz w:val="27"/>
          <w:szCs w:val="27"/>
        </w:rPr>
        <w:t>травня</w:t>
      </w:r>
      <w:r w:rsidR="000F4C5B">
        <w:rPr>
          <w:rFonts w:ascii="Times New Roman" w:hAnsi="Times New Roman" w:cs="Times New Roman"/>
          <w:bCs/>
          <w:sz w:val="27"/>
          <w:szCs w:val="27"/>
        </w:rPr>
        <w:t> </w:t>
      </w:r>
      <w:r w:rsidRPr="00A85018">
        <w:rPr>
          <w:rFonts w:ascii="Times New Roman" w:hAnsi="Times New Roman" w:cs="Times New Roman"/>
          <w:bCs/>
          <w:sz w:val="27"/>
          <w:szCs w:val="27"/>
        </w:rPr>
        <w:t>2025 року.</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Під час співбесіди Комісією обговорено: а) результати дослідження досьє;</w:t>
      </w:r>
      <w:r w:rsidR="00A92DFE" w:rsidRPr="00A85018">
        <w:rPr>
          <w:rFonts w:ascii="Times New Roman" w:hAnsi="Times New Roman" w:cs="Times New Roman"/>
          <w:bCs/>
          <w:sz w:val="27"/>
          <w:szCs w:val="27"/>
        </w:rPr>
        <w:t xml:space="preserve"> </w:t>
      </w:r>
      <w:r w:rsidRPr="00A85018">
        <w:rPr>
          <w:rFonts w:ascii="Times New Roman" w:hAnsi="Times New Roman" w:cs="Times New Roman"/>
          <w:bCs/>
          <w:sz w:val="27"/>
          <w:szCs w:val="27"/>
        </w:rPr>
        <w:t>б)</w:t>
      </w:r>
      <w:r w:rsidR="000F4C5B">
        <w:rPr>
          <w:rFonts w:ascii="Times New Roman" w:hAnsi="Times New Roman" w:cs="Times New Roman"/>
          <w:bCs/>
          <w:sz w:val="27"/>
          <w:szCs w:val="27"/>
        </w:rPr>
        <w:t> </w:t>
      </w:r>
      <w:r w:rsidRPr="00A85018">
        <w:rPr>
          <w:rFonts w:ascii="Times New Roman" w:hAnsi="Times New Roman" w:cs="Times New Roman"/>
          <w:bCs/>
          <w:sz w:val="27"/>
          <w:szCs w:val="27"/>
        </w:rPr>
        <w:t>відповідність</w:t>
      </w:r>
      <w:r w:rsidR="000F4C5B">
        <w:rPr>
          <w:rFonts w:ascii="Times New Roman" w:hAnsi="Times New Roman" w:cs="Times New Roman"/>
          <w:bCs/>
          <w:sz w:val="27"/>
          <w:szCs w:val="27"/>
        </w:rPr>
        <w:t> </w:t>
      </w:r>
      <w:r w:rsidRPr="00A85018">
        <w:rPr>
          <w:rFonts w:ascii="Times New Roman" w:hAnsi="Times New Roman" w:cs="Times New Roman"/>
          <w:bCs/>
          <w:sz w:val="27"/>
          <w:szCs w:val="27"/>
        </w:rPr>
        <w:t>кандидата показникам критеріїв особистої і соціальної компетентності, а також критеріїв доброчесності та професійної етики.</w:t>
      </w:r>
    </w:p>
    <w:p w:rsidR="000762C5" w:rsidRPr="00A85018" w:rsidRDefault="00DF18DF" w:rsidP="000762C5">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Рішенням Комісії у складі Першої палати від </w:t>
      </w:r>
      <w:r w:rsidR="00A92DFE" w:rsidRPr="00A85018">
        <w:rPr>
          <w:rFonts w:ascii="Times New Roman" w:hAnsi="Times New Roman" w:cs="Times New Roman"/>
          <w:bCs/>
          <w:sz w:val="27"/>
          <w:szCs w:val="27"/>
        </w:rPr>
        <w:t>15</w:t>
      </w:r>
      <w:r w:rsidRPr="00A85018">
        <w:rPr>
          <w:rFonts w:ascii="Times New Roman" w:hAnsi="Times New Roman" w:cs="Times New Roman"/>
          <w:bCs/>
          <w:sz w:val="27"/>
          <w:szCs w:val="27"/>
        </w:rPr>
        <w:t xml:space="preserve"> травня 2025 року № </w:t>
      </w:r>
      <w:r w:rsidR="000762C5" w:rsidRPr="00A85018">
        <w:rPr>
          <w:rFonts w:ascii="Times New Roman" w:hAnsi="Times New Roman" w:cs="Times New Roman"/>
          <w:bCs/>
          <w:sz w:val="27"/>
          <w:szCs w:val="27"/>
        </w:rPr>
        <w:t>27</w:t>
      </w:r>
      <w:r w:rsidRPr="00A85018">
        <w:rPr>
          <w:rFonts w:ascii="Times New Roman" w:hAnsi="Times New Roman" w:cs="Times New Roman"/>
          <w:bCs/>
          <w:sz w:val="27"/>
          <w:szCs w:val="27"/>
        </w:rPr>
        <w:t xml:space="preserve">/ас-25 визначено, що </w:t>
      </w:r>
      <w:r w:rsidR="000762C5" w:rsidRPr="00A85018">
        <w:rPr>
          <w:rFonts w:ascii="Times New Roman" w:hAnsi="Times New Roman" w:cs="Times New Roman"/>
          <w:bCs/>
          <w:sz w:val="27"/>
          <w:szCs w:val="27"/>
        </w:rPr>
        <w:t xml:space="preserve">за результатами кваліфікаційного оцінювання кандидат на посаду судді апеляційного адміністративного суду Тарновецький І.І. набрав 655,45 бала. </w:t>
      </w:r>
      <w:r w:rsidR="00B3047F" w:rsidRPr="00A85018">
        <w:rPr>
          <w:rFonts w:ascii="Times New Roman" w:hAnsi="Times New Roman" w:cs="Times New Roman"/>
          <w:bCs/>
          <w:sz w:val="27"/>
          <w:szCs w:val="27"/>
        </w:rPr>
        <w:t>П</w:t>
      </w:r>
      <w:r w:rsidR="000762C5" w:rsidRPr="00A85018">
        <w:rPr>
          <w:rFonts w:ascii="Times New Roman" w:hAnsi="Times New Roman" w:cs="Times New Roman"/>
          <w:bCs/>
          <w:sz w:val="27"/>
          <w:szCs w:val="27"/>
        </w:rPr>
        <w:t>итання щодо здатності Тарновецького Івана Ігоровича здійснювати правосуддя в апеляційному адміністративному суді внесено на розгляд Вищої кваліфікаційної комісії суддів України у пленарному складі.</w:t>
      </w:r>
    </w:p>
    <w:p w:rsidR="00902CAA" w:rsidRPr="00A85018" w:rsidRDefault="00DF18DF"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Рішення Комісії у складі Першої палати мотивовано </w:t>
      </w:r>
      <w:r w:rsidR="00902CAA" w:rsidRPr="00A85018">
        <w:rPr>
          <w:rFonts w:ascii="Times New Roman" w:hAnsi="Times New Roman" w:cs="Times New Roman"/>
          <w:bCs/>
          <w:sz w:val="27"/>
          <w:szCs w:val="27"/>
        </w:rPr>
        <w:t>тим, що кандидат набрав необхідну кількість голосів за усіма трьома критеріями, а саме:</w:t>
      </w:r>
    </w:p>
    <w:p w:rsidR="00902CAA" w:rsidRPr="00A85018" w:rsidRDefault="00902CAA"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 </w:t>
      </w:r>
      <w:r w:rsidR="00B3047F" w:rsidRPr="00A85018">
        <w:rPr>
          <w:rFonts w:ascii="Times New Roman" w:hAnsi="Times New Roman" w:cs="Times New Roman"/>
          <w:bCs/>
          <w:sz w:val="27"/>
          <w:szCs w:val="27"/>
        </w:rPr>
        <w:t xml:space="preserve">за критерієм особистої компетентності </w:t>
      </w:r>
      <w:r w:rsidRPr="00A85018">
        <w:rPr>
          <w:rFonts w:ascii="Times New Roman" w:hAnsi="Times New Roman" w:cs="Times New Roman"/>
          <w:bCs/>
          <w:sz w:val="27"/>
          <w:szCs w:val="27"/>
        </w:rPr>
        <w:t xml:space="preserve">– </w:t>
      </w:r>
      <w:r w:rsidR="00B3047F" w:rsidRPr="00A85018">
        <w:rPr>
          <w:rFonts w:ascii="Times New Roman" w:hAnsi="Times New Roman" w:cs="Times New Roman"/>
          <w:bCs/>
          <w:sz w:val="27"/>
          <w:szCs w:val="27"/>
        </w:rPr>
        <w:t>40,75 бала із 50 можливих, що є вищим за 75 % (37,5 бала), а тому кандидат відповідає цьому критерію;</w:t>
      </w:r>
    </w:p>
    <w:p w:rsidR="00902CAA" w:rsidRPr="00A85018" w:rsidRDefault="00902CAA"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 </w:t>
      </w:r>
      <w:r w:rsidR="00B3047F" w:rsidRPr="00A85018">
        <w:rPr>
          <w:rFonts w:ascii="Times New Roman" w:hAnsi="Times New Roman" w:cs="Times New Roman"/>
          <w:bCs/>
          <w:sz w:val="27"/>
          <w:szCs w:val="27"/>
        </w:rPr>
        <w:t xml:space="preserve">за критерієм соціальної компетентності </w:t>
      </w:r>
      <w:r w:rsidRPr="00A85018">
        <w:rPr>
          <w:rFonts w:ascii="Times New Roman" w:hAnsi="Times New Roman" w:cs="Times New Roman"/>
          <w:bCs/>
          <w:sz w:val="27"/>
          <w:szCs w:val="27"/>
        </w:rPr>
        <w:t>– 42,5 бала</w:t>
      </w:r>
      <w:r w:rsidR="00B3047F" w:rsidRPr="00A85018">
        <w:rPr>
          <w:rFonts w:ascii="Times New Roman" w:hAnsi="Times New Roman" w:cs="Times New Roman"/>
          <w:bCs/>
          <w:sz w:val="27"/>
          <w:szCs w:val="27"/>
        </w:rPr>
        <w:t xml:space="preserve"> із 50 можливих, що є вищим за 75% (37,5 бала), а тому кандидат відповідає цьому критерію;</w:t>
      </w:r>
    </w:p>
    <w:p w:rsidR="00B3047F" w:rsidRPr="00A85018" w:rsidRDefault="00902CAA" w:rsidP="00902CAA">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 </w:t>
      </w:r>
      <w:r w:rsidR="00B3047F" w:rsidRPr="00A85018">
        <w:rPr>
          <w:rFonts w:ascii="Times New Roman" w:hAnsi="Times New Roman" w:cs="Times New Roman"/>
          <w:bCs/>
          <w:sz w:val="27"/>
          <w:szCs w:val="27"/>
        </w:rPr>
        <w:t xml:space="preserve">за критерієм доброчесності та професійної етики </w:t>
      </w:r>
      <w:r w:rsidRPr="00A85018">
        <w:rPr>
          <w:rFonts w:ascii="Times New Roman" w:hAnsi="Times New Roman" w:cs="Times New Roman"/>
          <w:bCs/>
          <w:sz w:val="27"/>
          <w:szCs w:val="27"/>
        </w:rPr>
        <w:t xml:space="preserve">– </w:t>
      </w:r>
      <w:r w:rsidR="00B3047F" w:rsidRPr="00A85018">
        <w:rPr>
          <w:rFonts w:ascii="Times New Roman" w:hAnsi="Times New Roman" w:cs="Times New Roman"/>
          <w:bCs/>
          <w:sz w:val="27"/>
          <w:szCs w:val="27"/>
        </w:rPr>
        <w:t>240 балів із</w:t>
      </w:r>
      <w:r w:rsidR="00A85018">
        <w:rPr>
          <w:rFonts w:ascii="Times New Roman" w:hAnsi="Times New Roman" w:cs="Times New Roman"/>
          <w:bCs/>
          <w:sz w:val="27"/>
          <w:szCs w:val="27"/>
        </w:rPr>
        <w:t xml:space="preserve"> </w:t>
      </w:r>
      <w:r w:rsidR="00B3047F" w:rsidRPr="00A85018">
        <w:rPr>
          <w:rFonts w:ascii="Times New Roman" w:hAnsi="Times New Roman" w:cs="Times New Roman"/>
          <w:bCs/>
          <w:sz w:val="27"/>
          <w:szCs w:val="27"/>
        </w:rPr>
        <w:t>300</w:t>
      </w:r>
      <w:r w:rsidR="000F4C5B">
        <w:rPr>
          <w:rFonts w:ascii="Times New Roman" w:hAnsi="Times New Roman" w:cs="Times New Roman"/>
          <w:bCs/>
          <w:sz w:val="27"/>
          <w:szCs w:val="27"/>
        </w:rPr>
        <w:t> </w:t>
      </w:r>
      <w:r w:rsidR="00B3047F" w:rsidRPr="00A85018">
        <w:rPr>
          <w:rFonts w:ascii="Times New Roman" w:hAnsi="Times New Roman" w:cs="Times New Roman"/>
          <w:bCs/>
          <w:sz w:val="27"/>
          <w:szCs w:val="27"/>
        </w:rPr>
        <w:t>можливих, що є вищим за 75% (225 балів), а тому кандидат відповідає цьому критерію.</w:t>
      </w:r>
    </w:p>
    <w:p w:rsidR="00144564" w:rsidRPr="00A85018" w:rsidRDefault="00144564" w:rsidP="00DF18DF">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A85018">
        <w:rPr>
          <w:rFonts w:ascii="Times New Roman" w:hAnsi="Times New Roman" w:cs="Times New Roman"/>
          <w:b/>
          <w:bCs/>
          <w:sz w:val="27"/>
          <w:szCs w:val="27"/>
        </w:rPr>
        <w:t xml:space="preserve">ІІІ. Основні відомості про кандидата. </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p>
    <w:p w:rsidR="00B3047F" w:rsidRPr="00A85018" w:rsidRDefault="00B3047F" w:rsidP="00B3047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Тарновецький І.І. на момент подання заяви мав повних </w:t>
      </w:r>
      <w:r w:rsidR="007514BA">
        <w:rPr>
          <w:rFonts w:ascii="Times New Roman" w:hAnsi="Times New Roman" w:cs="Times New Roman"/>
          <w:bCs/>
          <w:sz w:val="27"/>
          <w:szCs w:val="27"/>
        </w:rPr>
        <w:t>__</w:t>
      </w:r>
      <w:r w:rsidRPr="00A85018">
        <w:rPr>
          <w:rFonts w:ascii="Times New Roman" w:hAnsi="Times New Roman" w:cs="Times New Roman"/>
          <w:bCs/>
          <w:sz w:val="27"/>
          <w:szCs w:val="27"/>
        </w:rPr>
        <w:t xml:space="preserve"> років, є громадянином України. Володіння державною мовою підтверджено сертифікатом УМД № 00206369 від 25 жовтня 2023 року на рівні вільного володіння першого ступеня.</w:t>
      </w:r>
    </w:p>
    <w:p w:rsidR="00B3047F" w:rsidRPr="00A85018" w:rsidRDefault="00B3047F" w:rsidP="00B3047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У 2001 році закінчив Київський національний університет імені Тараса Шевченка і отримав повну вищу освіту за спеціальністю «Правознавство» та здобув кваліфікацію спеціаліста права.</w:t>
      </w:r>
    </w:p>
    <w:p w:rsidR="00B3047F" w:rsidRPr="00A85018" w:rsidRDefault="00B3047F" w:rsidP="00B3047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Стаж професійної діяльності у сфері права понад 23 роки. Професійну діяльність розпочав Державній податковій адміністрації України.</w:t>
      </w:r>
    </w:p>
    <w:p w:rsidR="00B3047F" w:rsidRPr="00A85018" w:rsidRDefault="00B3047F" w:rsidP="00B3047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Указом Президента України від 9 жовтня 2009 року № 814/2009 Тарновецького</w:t>
      </w:r>
      <w:r w:rsidR="000F4C5B">
        <w:rPr>
          <w:rFonts w:ascii="Times New Roman" w:hAnsi="Times New Roman" w:cs="Times New Roman"/>
          <w:bCs/>
          <w:sz w:val="27"/>
          <w:szCs w:val="27"/>
        </w:rPr>
        <w:t> </w:t>
      </w:r>
      <w:r w:rsidRPr="00A85018">
        <w:rPr>
          <w:rFonts w:ascii="Times New Roman" w:hAnsi="Times New Roman" w:cs="Times New Roman"/>
          <w:bCs/>
          <w:sz w:val="27"/>
          <w:szCs w:val="27"/>
        </w:rPr>
        <w:t>І.І. призначено на посаду судді Хмельницького окружного адміністративного суду строком на п’ять років.</w:t>
      </w:r>
    </w:p>
    <w:p w:rsidR="00B3047F" w:rsidRPr="00A85018" w:rsidRDefault="00B3047F" w:rsidP="00B3047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Указом Президента України від 02 листопада 2017 року № 350/2017 Тарновецького</w:t>
      </w:r>
      <w:r w:rsidR="000F4C5B">
        <w:rPr>
          <w:rFonts w:ascii="Times New Roman" w:hAnsi="Times New Roman" w:cs="Times New Roman"/>
          <w:bCs/>
          <w:sz w:val="27"/>
          <w:szCs w:val="27"/>
        </w:rPr>
        <w:t> </w:t>
      </w:r>
      <w:r w:rsidRPr="00A85018">
        <w:rPr>
          <w:rFonts w:ascii="Times New Roman" w:hAnsi="Times New Roman" w:cs="Times New Roman"/>
          <w:bCs/>
          <w:sz w:val="27"/>
          <w:szCs w:val="27"/>
        </w:rPr>
        <w:t>І.І. призначено на посаду судді Хмельницького окружного адміністративного суду безстроково.</w:t>
      </w:r>
    </w:p>
    <w:p w:rsidR="00B3047F" w:rsidRPr="00A85018" w:rsidRDefault="00B3047F" w:rsidP="00B3047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Вченого звання, наукового ступеня не має.</w:t>
      </w:r>
    </w:p>
    <w:p w:rsidR="00B3047F" w:rsidRPr="00A85018" w:rsidRDefault="00B3047F" w:rsidP="00B3047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До дисциплінарної відповідальності не притягувався.</w:t>
      </w:r>
    </w:p>
    <w:p w:rsidR="00B3047F" w:rsidRPr="00A85018" w:rsidRDefault="00B3047F" w:rsidP="00DF18DF">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
          <w:bCs/>
          <w:sz w:val="27"/>
          <w:szCs w:val="27"/>
        </w:rPr>
      </w:pPr>
      <w:r w:rsidRPr="00A85018">
        <w:rPr>
          <w:rFonts w:ascii="Times New Roman" w:hAnsi="Times New Roman" w:cs="Times New Roman"/>
          <w:b/>
          <w:bCs/>
          <w:sz w:val="27"/>
          <w:szCs w:val="27"/>
        </w:rPr>
        <w:t>ІV. Розгляд питання про підтвердження або непідтвердження здатності кандидата здійснювати правосуддя в апеляційному адміністративному суді за критерієм професійної етики та доброчесності Комісією у Пленарному складі.</w:t>
      </w:r>
    </w:p>
    <w:p w:rsidR="00B3047F" w:rsidRPr="00A85018" w:rsidRDefault="00B3047F" w:rsidP="00DF18DF">
      <w:pPr>
        <w:autoSpaceDE w:val="0"/>
        <w:autoSpaceDN w:val="0"/>
        <w:adjustRightInd w:val="0"/>
        <w:spacing w:after="0" w:line="235" w:lineRule="auto"/>
        <w:ind w:firstLine="709"/>
        <w:jc w:val="both"/>
        <w:rPr>
          <w:rFonts w:ascii="Times New Roman" w:hAnsi="Times New Roman" w:cs="Times New Roman"/>
          <w:b/>
          <w:bCs/>
          <w:sz w:val="27"/>
          <w:szCs w:val="27"/>
        </w:rPr>
      </w:pP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r w:rsidRPr="00A85018">
        <w:rPr>
          <w:rFonts w:ascii="Times New Roman" w:hAnsi="Times New Roman" w:cs="Times New Roman"/>
          <w:bCs/>
          <w:sz w:val="27"/>
          <w:szCs w:val="27"/>
        </w:rPr>
        <w:lastRenderedPageBreak/>
        <w:t>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5F35DC" w:rsidRPr="00A85018" w:rsidRDefault="00DF18DF" w:rsidP="005F35DC">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Комісією у пленарному складі про</w:t>
      </w:r>
      <w:r w:rsidR="00B3047F" w:rsidRPr="00A85018">
        <w:rPr>
          <w:rFonts w:ascii="Times New Roman" w:hAnsi="Times New Roman" w:cs="Times New Roman"/>
          <w:bCs/>
          <w:sz w:val="27"/>
          <w:szCs w:val="27"/>
        </w:rPr>
        <w:t>ведено співбесіду з кандидатом 09</w:t>
      </w:r>
      <w:r w:rsidRPr="00A85018">
        <w:rPr>
          <w:rFonts w:ascii="Times New Roman" w:hAnsi="Times New Roman" w:cs="Times New Roman"/>
          <w:bCs/>
          <w:sz w:val="27"/>
          <w:szCs w:val="27"/>
        </w:rPr>
        <w:t xml:space="preserve"> червня </w:t>
      </w:r>
      <w:r w:rsidR="00FB117A" w:rsidRPr="00A85018">
        <w:rPr>
          <w:rFonts w:ascii="Times New Roman" w:hAnsi="Times New Roman" w:cs="Times New Roman"/>
          <w:bCs/>
          <w:sz w:val="27"/>
          <w:szCs w:val="27"/>
        </w:rPr>
        <w:t xml:space="preserve"> </w:t>
      </w:r>
      <w:r w:rsidRPr="00A85018">
        <w:rPr>
          <w:rFonts w:ascii="Times New Roman" w:hAnsi="Times New Roman" w:cs="Times New Roman"/>
          <w:bCs/>
          <w:sz w:val="27"/>
          <w:szCs w:val="27"/>
        </w:rPr>
        <w:t>2025 року.</w:t>
      </w:r>
    </w:p>
    <w:p w:rsidR="00902CAA" w:rsidRPr="00A85018" w:rsidRDefault="003C3046" w:rsidP="00462213">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Зокрема, обговорено питання, що стали підставою для висновку ГРД</w:t>
      </w:r>
      <w:r w:rsidR="005F35DC" w:rsidRPr="00A85018">
        <w:rPr>
          <w:rFonts w:ascii="Times New Roman" w:hAnsi="Times New Roman" w:cs="Times New Roman"/>
          <w:bCs/>
          <w:sz w:val="27"/>
          <w:szCs w:val="27"/>
        </w:rPr>
        <w:t>.</w:t>
      </w:r>
    </w:p>
    <w:p w:rsidR="003C3046" w:rsidRPr="00A85018" w:rsidRDefault="005F35DC" w:rsidP="00462213">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Комісія у складі Першої палати вирішила зменшити бали кандидата за критерієм професійної етики та доброчесності на 60 балів за показниками «чесність» та «сумлінність».</w:t>
      </w:r>
    </w:p>
    <w:p w:rsidR="003C3046" w:rsidRPr="00A85018" w:rsidRDefault="005F35DC"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Підставою для такого зменшення стали зазначені у висновку ГРД обставини недекларування кандидатом у деклараціях належного колишній дружині</w:t>
      </w:r>
      <w:r w:rsidR="009524DD" w:rsidRPr="00A85018">
        <w:rPr>
          <w:rFonts w:ascii="Times New Roman" w:hAnsi="Times New Roman" w:cs="Times New Roman"/>
          <w:bCs/>
          <w:sz w:val="27"/>
          <w:szCs w:val="27"/>
        </w:rPr>
        <w:t xml:space="preserve"> </w:t>
      </w:r>
      <w:r w:rsidRPr="00A85018">
        <w:rPr>
          <w:rFonts w:ascii="Times New Roman" w:hAnsi="Times New Roman" w:cs="Times New Roman"/>
          <w:bCs/>
          <w:sz w:val="27"/>
          <w:szCs w:val="27"/>
        </w:rPr>
        <w:t>нерухомого майна.</w:t>
      </w:r>
    </w:p>
    <w:p w:rsidR="00124BE2" w:rsidRPr="00A85018" w:rsidRDefault="005F35DC"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Так, с</w:t>
      </w:r>
      <w:r w:rsidR="00124BE2" w:rsidRPr="00A85018">
        <w:rPr>
          <w:rFonts w:ascii="Times New Roman" w:hAnsi="Times New Roman" w:cs="Times New Roman"/>
          <w:bCs/>
          <w:sz w:val="27"/>
          <w:szCs w:val="27"/>
        </w:rPr>
        <w:t>уддя у деклараціях вказав, що його колишня дружина відмовилася надавати йому інформацію про наявне у неї нерухоме майно, зазначив «інші об’єкти нерухомості» та «член сім’ї не надав інформацію».</w:t>
      </w:r>
    </w:p>
    <w:p w:rsidR="00124BE2" w:rsidRPr="00A85018" w:rsidRDefault="00124BE2"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ГРД вважає, що суддя не міг не знати про діяльність його колишньої тещі та скандали, які роками супроводжували комерційне підприємство, а відтак, підстави і перелік майна, набутого колишньою дружиною. Не зазначення суддею численного нерухомого майна вартістю в десятки мільйонів гривень зводить нанівець саму суть декларування та унеможливлює визначення майнового стану судді, а отже й перевірки відповідності способу життя судді та його родини офіційним доходам.</w:t>
      </w:r>
    </w:p>
    <w:p w:rsidR="00124BE2" w:rsidRPr="00A85018" w:rsidRDefault="00124BE2"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Кандидат зазначив, що вказані у висновку взаємовідносини підприємства із інвесторами є цивільно-правовими відносинами, стороною в яких є юридична особа, спір між ними вирішується в правовому полі, про що сама ГРД вказує у висновку, посилаючись на рішення судів. Зробивши висновок про сумнівне набуття майна на вказані суми ГРД не визначає та не вказує на вирок суду, яким встановлено вину особи, а зазначені суми є нічим не обґрунтовані та не обраховані. Фактично зазначені у висновку ГРД обставини є цитуванням неофіційної інформації, а статей з мережі «Інтернет», що не може бути підставою для обґрунтованого висновку про незаконне отримання майна особою.</w:t>
      </w:r>
    </w:p>
    <w:p w:rsidR="003C3046" w:rsidRPr="00A85018" w:rsidRDefault="00124BE2" w:rsidP="00462213">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Щодо декларування майна, яке вказано у висновку ГРД та не вказане у декларації, кандидат зазначив, що вказані об’єкти йому не належать, жодного відношення до цих об’єктів нерухомості він не має. Такі об’єкти нерухомості належить його колишній дружині. На виконання вимог законодавства України та із врахуванням відмови члена сім’ї у наданні відомостей для заповнення декларації, ним зазначено всю відому йому інформацію стосовно особи, яка з ним спільно проживає та не перебуває у шлюбі.</w:t>
      </w:r>
    </w:p>
    <w:p w:rsidR="005F35DC" w:rsidRPr="00A85018" w:rsidRDefault="00124BE2"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Комісія</w:t>
      </w:r>
      <w:r w:rsidR="005F35DC" w:rsidRPr="00A85018">
        <w:rPr>
          <w:rFonts w:ascii="Times New Roman" w:hAnsi="Times New Roman" w:cs="Times New Roman"/>
          <w:bCs/>
          <w:sz w:val="27"/>
          <w:szCs w:val="27"/>
        </w:rPr>
        <w:t xml:space="preserve"> у пленарному складі погоджується із фактичними обставинами, які стали підставою для зменшення балів за критерієм професійної етики та доброчесності на 60 балів.</w:t>
      </w:r>
    </w:p>
    <w:p w:rsidR="00124BE2" w:rsidRPr="00A85018" w:rsidRDefault="005F35DC"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У</w:t>
      </w:r>
      <w:r w:rsidR="00124BE2" w:rsidRPr="00A85018">
        <w:rPr>
          <w:rFonts w:ascii="Times New Roman" w:hAnsi="Times New Roman" w:cs="Times New Roman"/>
          <w:bCs/>
          <w:sz w:val="27"/>
          <w:szCs w:val="27"/>
        </w:rPr>
        <w:t xml:space="preserve"> відповідності до пункту 4.7. Бангалорських принципів поведінки суддів </w:t>
      </w:r>
      <w:bookmarkStart w:id="0" w:name="_GoBack"/>
      <w:bookmarkEnd w:id="0"/>
      <w:r w:rsidR="00124BE2" w:rsidRPr="00A85018">
        <w:rPr>
          <w:rFonts w:ascii="Times New Roman" w:hAnsi="Times New Roman" w:cs="Times New Roman"/>
          <w:bCs/>
          <w:sz w:val="27"/>
          <w:szCs w:val="27"/>
        </w:rPr>
        <w:t>від</w:t>
      </w:r>
      <w:r w:rsidR="000F4C5B">
        <w:rPr>
          <w:rFonts w:ascii="Times New Roman" w:hAnsi="Times New Roman" w:cs="Times New Roman"/>
          <w:bCs/>
          <w:sz w:val="27"/>
          <w:szCs w:val="27"/>
        </w:rPr>
        <w:t> </w:t>
      </w:r>
      <w:r w:rsidR="00124BE2" w:rsidRPr="00A85018">
        <w:rPr>
          <w:rFonts w:ascii="Times New Roman" w:hAnsi="Times New Roman" w:cs="Times New Roman"/>
          <w:bCs/>
          <w:sz w:val="27"/>
          <w:szCs w:val="27"/>
        </w:rPr>
        <w:t>19</w:t>
      </w:r>
      <w:r w:rsidR="000F4C5B">
        <w:rPr>
          <w:rFonts w:ascii="Times New Roman" w:hAnsi="Times New Roman" w:cs="Times New Roman"/>
          <w:bCs/>
          <w:sz w:val="27"/>
          <w:szCs w:val="27"/>
        </w:rPr>
        <w:t> </w:t>
      </w:r>
      <w:r w:rsidR="00124BE2" w:rsidRPr="00A85018">
        <w:rPr>
          <w:rFonts w:ascii="Times New Roman" w:hAnsi="Times New Roman" w:cs="Times New Roman"/>
          <w:bCs/>
          <w:sz w:val="27"/>
          <w:szCs w:val="27"/>
        </w:rPr>
        <w:t xml:space="preserve">травня 2006 року, схвалених Резолюцією Економічної та Соціальної Ради </w:t>
      </w:r>
      <w:r w:rsidR="00124BE2" w:rsidRPr="00A85018">
        <w:rPr>
          <w:rFonts w:ascii="Times New Roman" w:hAnsi="Times New Roman" w:cs="Times New Roman"/>
          <w:bCs/>
          <w:sz w:val="27"/>
          <w:szCs w:val="27"/>
        </w:rPr>
        <w:lastRenderedPageBreak/>
        <w:t>ООН від 27 липня 2006 року № 2006/23, суддя має бути обізнаний про свої особисті та матеріальні інтереси конфіденційного характеру та має вживати розумні заходи з метою отримання інформації про матеріальні інтереси членів своєї родини.</w:t>
      </w:r>
    </w:p>
    <w:p w:rsidR="00124BE2" w:rsidRPr="00A85018" w:rsidRDefault="00124BE2"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Оцінюючи здатність Тарновецького І.І. здійснювати правосуддя в апеляційному адміністративному суді за критеріями професійної етики та доброчесності, Комісія виходить також із вимог Кодексу суддівської етики, затвердж</w:t>
      </w:r>
      <w:r w:rsidR="00CD56E9" w:rsidRPr="00A85018">
        <w:rPr>
          <w:rFonts w:ascii="Times New Roman" w:hAnsi="Times New Roman" w:cs="Times New Roman"/>
          <w:bCs/>
          <w:sz w:val="27"/>
          <w:szCs w:val="27"/>
        </w:rPr>
        <w:t>еного XI з’їздом суддів України</w:t>
      </w:r>
      <w:r w:rsidRPr="00A85018">
        <w:rPr>
          <w:rFonts w:ascii="Times New Roman" w:hAnsi="Times New Roman" w:cs="Times New Roman"/>
          <w:bCs/>
          <w:sz w:val="27"/>
          <w:szCs w:val="27"/>
        </w:rPr>
        <w:t xml:space="preserve"> 22 лютого 2013 року.</w:t>
      </w:r>
    </w:p>
    <w:p w:rsidR="00124BE2" w:rsidRPr="00A85018" w:rsidRDefault="00124BE2"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У статтях 1-3, 18-19 цього Кодексу встановлено вимоги до поведінки судді під час здійснення правосуддя та поза професійною діяльністю. Зокрема,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rsidR="00124BE2" w:rsidRPr="00A85018" w:rsidRDefault="00124BE2"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Суддя має докладати всіх зусиль до того, щоб, на думку розсудливої, законослухняної та поінформованої людини, його поведінка була бездоганною.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rsidR="00124BE2" w:rsidRPr="00A85018" w:rsidRDefault="00124BE2"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Відповідно до роз’яснень Кодексу суддівської етики, затверджених рішенням Ради суддів України від 04 лютого 2016 року № 1, суддя добровільно приймає на себе обмеження, пов’язані з виконанням ним своїх професійних обов’язків, які унеможливлюють створення умов, що викликатимуть сумніви у доброчесності поведінки судді та його безсторонності, незалежності і об’єктивності.</w:t>
      </w:r>
    </w:p>
    <w:p w:rsidR="00124BE2" w:rsidRPr="00A85018" w:rsidRDefault="00124BE2"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За загальним правилом суддівської етики суддя повинен бути прикладом законослухняності, завжди поводитися так, аби зміцнювати віру громадян у чесність, незалежність, неупередженість та справедливість суду, докладати всіх зусиль, щоб, на думку розсудливої, законослухняної та поінформованої людини, його поведінка була бездоганною.</w:t>
      </w:r>
    </w:p>
    <w:p w:rsidR="00124BE2" w:rsidRPr="00A85018" w:rsidRDefault="00124BE2"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Поняттю «законослухняна людина» відповідає таке визначення: це людина, яка здатна (спроможна) шанобливо ставитись до існуючих рішень, настанов, законів, дотримуватись їх, визнавати і шанувати суспільні авторитети, виконувати свої громадські, суспільні обов’язки.</w:t>
      </w:r>
    </w:p>
    <w:p w:rsidR="00124BE2" w:rsidRPr="00A85018" w:rsidRDefault="00124BE2"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Бездоганна поведінка суддів означає уникнення порушень норм етики та недопущення створення враження їх порушення як під час виконання професійних обов’язків, так і в особистому житті.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неупередженість, урівноваженість та професійна придатність судді поставлені під сумнів.</w:t>
      </w:r>
    </w:p>
    <w:p w:rsidR="00124BE2" w:rsidRPr="00A85018" w:rsidRDefault="00124BE2"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Суддя зобов’язаний встановлювати для себе, додержуватися і змушувати всіх інших осіб зі свого оточення додержуватися бездоганних правил поведінки, підтримуючи і утверджуючи на власному прикладі доброчесність у судовій владі. Він має докладати всіх зусиль до того, щоб його поведінка була бездоганною.</w:t>
      </w:r>
    </w:p>
    <w:p w:rsidR="00124BE2" w:rsidRPr="00A85018" w:rsidRDefault="00124BE2"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Доброчесна поведінка судді має стосуватися всіх сфер його життя, зокрема і матеріальної (майнової) сфери. Йдеться про добросовісну поведінку судді в реалізації обов’язку бути обізнаним про свої майнові інтереси та здійсненні активних дій щодо вжиття розумних (адекватних) заходів для того, щоб бути </w:t>
      </w:r>
      <w:r w:rsidRPr="00A85018">
        <w:rPr>
          <w:rFonts w:ascii="Times New Roman" w:hAnsi="Times New Roman" w:cs="Times New Roman"/>
          <w:bCs/>
          <w:sz w:val="27"/>
          <w:szCs w:val="27"/>
        </w:rPr>
        <w:lastRenderedPageBreak/>
        <w:t>обізнаним про майнові інтереси членів своєї сім’ї та близьких осіб, виявляючи повагу до законів і лояльність до публічних фінансових інтересів держави.</w:t>
      </w:r>
    </w:p>
    <w:p w:rsidR="00124BE2" w:rsidRPr="00A85018" w:rsidRDefault="00124BE2"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У справі «Джоджай проти Албанії» (Xhoxhaj v. Albania) ЄСПЛ зазначив, що варто також враховувати особливості широко застосовних процесів аудиту активів. На думку Суду, з урахуванням того, що особисті або сімейні статки зазвичай накопичуються протягом трудового життя, встановлення жорстких часових обмежень для оцінювання статків значно обмежило б і вплинуло на здатність органів влади оцінювати законність усіх статків, набутих протягом професійної кар’єри особою, яка проходить перевірку. У зв’язку з цим оцінювання статків має певні особливості на відміну від звичайних дисциплінарних розслідувань, які потребують надання державі-відповідачу більшої гнучкості в застосуванні встановлених законом обмежень, сумісних із метою відновлення та зміцнення довіри суспільства до системи правосуддя та забезпечення високого рівня доброчесності, якого очікують від представників судової системи. …</w:t>
      </w:r>
      <w:r w:rsidR="00462213" w:rsidRPr="00A85018">
        <w:rPr>
          <w:rFonts w:ascii="Times New Roman" w:hAnsi="Times New Roman" w:cs="Times New Roman"/>
          <w:bCs/>
          <w:sz w:val="27"/>
          <w:szCs w:val="27"/>
        </w:rPr>
        <w:t xml:space="preserve"> </w:t>
      </w:r>
      <w:r w:rsidRPr="00A85018">
        <w:rPr>
          <w:rFonts w:ascii="Times New Roman" w:hAnsi="Times New Roman" w:cs="Times New Roman"/>
          <w:bCs/>
          <w:sz w:val="27"/>
          <w:szCs w:val="27"/>
        </w:rPr>
        <w:t>Суд вважає, що, беручи до уваги процес оцінювання особистих або сімейних статків, накопичених протягом професійного життя судді, пом’якшувальні обставини, передбачені в Законі про перевірку, неподання заявницею документів, що підтверджують об’єктивну неможливість продемонструвати законний характер доходу її партнера та її власне неповідомлення про майно в момент його придбання, порушення пункту 1 статті 6 Конвенції щодо стверджуваного порушення принципу правової визначеності не було.</w:t>
      </w:r>
    </w:p>
    <w:p w:rsidR="00124BE2" w:rsidRPr="00A85018" w:rsidRDefault="00124BE2"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Тобто, ЄСПЛ сформував загальний принцип, застосовний у цій процедурі оцінювання з огляду на визначені законом обов’язки судді щодо підтвердження законності джерел походження майна та відповідності витрат доходам. Цей принцип полягає у допустимості оцінки майнового стану судді без часових обмежень та у сукупності із майновим станом його (її) партнера. Безумовно, цей принцип варто застосовувати з урахуванням положень законодавства України, що регулює процедури кваліфікаційного оцінювання суддів.</w:t>
      </w:r>
    </w:p>
    <w:p w:rsidR="00124BE2" w:rsidRPr="00A85018" w:rsidRDefault="00124BE2"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Комісія враховує, що всупереч викладеному вище Тарновецький І.І. не спонукав осіб зі свого оточення додержуватися бездоганних правил поведінки, а отже, не вжив всіх розумних заходів для того, щоб бути обізнаним про майнові інтереси членів своєї сім’ї та близьких осіб.</w:t>
      </w:r>
    </w:p>
    <w:p w:rsidR="00124BE2" w:rsidRPr="00A85018" w:rsidRDefault="00124BE2" w:rsidP="00124BE2">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Комісія також бере до уваги, що після відмови близької особи надати відповідну інформацію, яка підлягала декларуванню, кандидат не вжив самостійних заходів для з’ясування такої інформації, зокрема, не звертався із запитом про отримання відомостей з Державного реєстру речових прав на нерухоме майно. Кандидат обмежився лише відмовою близької особи надати таку інформацію, що може свідчити про приховування інформації та недоброчесну поведінку судді.</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Щодо інших обставин, зазначених у висновку ГРД, то Комісія у пленарному складі в цій частині підтримує рішення Комісії у складі Першої палати. </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Комісія у пленарному складі виснує, що кандидат  відповідає критерію професійної етики та доброчесності.</w:t>
      </w:r>
    </w:p>
    <w:p w:rsidR="00DF18DF" w:rsidRPr="00A85018" w:rsidRDefault="005F35DC"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Таким чином, кандидат підтвердив</w:t>
      </w:r>
      <w:r w:rsidR="00DF18DF" w:rsidRPr="00A85018">
        <w:rPr>
          <w:rFonts w:ascii="Times New Roman" w:hAnsi="Times New Roman" w:cs="Times New Roman"/>
          <w:bCs/>
          <w:sz w:val="27"/>
          <w:szCs w:val="27"/>
        </w:rPr>
        <w:t xml:space="preserve"> здатність здійснювати правосуддя в апеляційному адміністративному суді за критерієм доброчесності та професійної етики.</w:t>
      </w: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lastRenderedPageBreak/>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477B81" w:rsidRPr="00A85018">
        <w:rPr>
          <w:rFonts w:ascii="Times New Roman" w:hAnsi="Times New Roman" w:cs="Times New Roman"/>
          <w:bCs/>
          <w:sz w:val="27"/>
          <w:szCs w:val="27"/>
        </w:rPr>
        <w:t>десятьма голосами «За» і двома голосами</w:t>
      </w:r>
      <w:r w:rsidRPr="00A85018">
        <w:rPr>
          <w:rFonts w:ascii="Times New Roman" w:hAnsi="Times New Roman" w:cs="Times New Roman"/>
          <w:bCs/>
          <w:sz w:val="27"/>
          <w:szCs w:val="27"/>
        </w:rPr>
        <w:t xml:space="preserve"> «Проти», </w:t>
      </w:r>
    </w:p>
    <w:p w:rsidR="003C3046" w:rsidRPr="00A85018" w:rsidRDefault="003C3046" w:rsidP="00DF18DF">
      <w:pPr>
        <w:autoSpaceDE w:val="0"/>
        <w:autoSpaceDN w:val="0"/>
        <w:adjustRightInd w:val="0"/>
        <w:spacing w:after="0" w:line="235" w:lineRule="auto"/>
        <w:ind w:firstLine="709"/>
        <w:jc w:val="both"/>
        <w:rPr>
          <w:rFonts w:ascii="Times New Roman" w:hAnsi="Times New Roman" w:cs="Times New Roman"/>
          <w:bCs/>
          <w:sz w:val="27"/>
          <w:szCs w:val="27"/>
        </w:rPr>
      </w:pPr>
    </w:p>
    <w:p w:rsidR="00DF18DF" w:rsidRPr="00A85018" w:rsidRDefault="00DF18DF" w:rsidP="003C3046">
      <w:pPr>
        <w:autoSpaceDE w:val="0"/>
        <w:autoSpaceDN w:val="0"/>
        <w:adjustRightInd w:val="0"/>
        <w:spacing w:after="0" w:line="235" w:lineRule="auto"/>
        <w:ind w:firstLine="709"/>
        <w:jc w:val="center"/>
        <w:rPr>
          <w:rFonts w:ascii="Times New Roman" w:hAnsi="Times New Roman" w:cs="Times New Roman"/>
          <w:bCs/>
          <w:sz w:val="27"/>
          <w:szCs w:val="27"/>
        </w:rPr>
      </w:pPr>
      <w:r w:rsidRPr="00A85018">
        <w:rPr>
          <w:rFonts w:ascii="Times New Roman" w:hAnsi="Times New Roman" w:cs="Times New Roman"/>
          <w:bCs/>
          <w:sz w:val="27"/>
          <w:szCs w:val="27"/>
        </w:rPr>
        <w:t>вирішила:</w:t>
      </w:r>
    </w:p>
    <w:p w:rsidR="003C3046" w:rsidRPr="00A85018" w:rsidRDefault="003C3046" w:rsidP="003C3046">
      <w:pPr>
        <w:autoSpaceDE w:val="0"/>
        <w:autoSpaceDN w:val="0"/>
        <w:adjustRightInd w:val="0"/>
        <w:spacing w:after="0" w:line="235" w:lineRule="auto"/>
        <w:ind w:firstLine="709"/>
        <w:jc w:val="center"/>
        <w:rPr>
          <w:rFonts w:ascii="Times New Roman" w:hAnsi="Times New Roman" w:cs="Times New Roman"/>
          <w:bCs/>
          <w:sz w:val="27"/>
          <w:szCs w:val="27"/>
        </w:rPr>
      </w:pPr>
    </w:p>
    <w:p w:rsidR="00DF18DF" w:rsidRPr="00A85018" w:rsidRDefault="00DF18DF" w:rsidP="00DF18DF">
      <w:pPr>
        <w:autoSpaceDE w:val="0"/>
        <w:autoSpaceDN w:val="0"/>
        <w:adjustRightInd w:val="0"/>
        <w:spacing w:after="0" w:line="235" w:lineRule="auto"/>
        <w:ind w:firstLine="709"/>
        <w:jc w:val="both"/>
        <w:rPr>
          <w:rFonts w:ascii="Times New Roman" w:hAnsi="Times New Roman" w:cs="Times New Roman"/>
          <w:bCs/>
          <w:sz w:val="27"/>
          <w:szCs w:val="27"/>
        </w:rPr>
      </w:pPr>
      <w:r w:rsidRPr="00A85018">
        <w:rPr>
          <w:rFonts w:ascii="Times New Roman" w:hAnsi="Times New Roman" w:cs="Times New Roman"/>
          <w:bCs/>
          <w:sz w:val="27"/>
          <w:szCs w:val="27"/>
        </w:rPr>
        <w:t xml:space="preserve">Визнати </w:t>
      </w:r>
      <w:r w:rsidR="005F35DC" w:rsidRPr="00A85018">
        <w:rPr>
          <w:rFonts w:ascii="Times New Roman" w:hAnsi="Times New Roman" w:cs="Times New Roman"/>
          <w:bCs/>
          <w:sz w:val="27"/>
          <w:szCs w:val="27"/>
        </w:rPr>
        <w:t>Тарновецького Івана Ігоровича</w:t>
      </w:r>
      <w:r w:rsidRPr="00A85018">
        <w:rPr>
          <w:rFonts w:ascii="Times New Roman" w:hAnsi="Times New Roman" w:cs="Times New Roman"/>
          <w:bCs/>
          <w:sz w:val="27"/>
          <w:szCs w:val="27"/>
        </w:rPr>
        <w:t xml:space="preserve"> так</w:t>
      </w:r>
      <w:r w:rsidR="005F35DC" w:rsidRPr="00A85018">
        <w:rPr>
          <w:rFonts w:ascii="Times New Roman" w:hAnsi="Times New Roman" w:cs="Times New Roman"/>
          <w:bCs/>
          <w:sz w:val="27"/>
          <w:szCs w:val="27"/>
        </w:rPr>
        <w:t>им</w:t>
      </w:r>
      <w:r w:rsidRPr="00A85018">
        <w:rPr>
          <w:rFonts w:ascii="Times New Roman" w:hAnsi="Times New Roman" w:cs="Times New Roman"/>
          <w:bCs/>
          <w:sz w:val="27"/>
          <w:szCs w:val="27"/>
        </w:rPr>
        <w:t xml:space="preserve">, що </w:t>
      </w:r>
      <w:r w:rsidR="005F35DC" w:rsidRPr="00A85018">
        <w:rPr>
          <w:rFonts w:ascii="Times New Roman" w:hAnsi="Times New Roman" w:cs="Times New Roman"/>
          <w:bCs/>
          <w:sz w:val="27"/>
          <w:szCs w:val="27"/>
        </w:rPr>
        <w:t>підтвердив</w:t>
      </w:r>
      <w:r w:rsidRPr="00A85018">
        <w:rPr>
          <w:rFonts w:ascii="Times New Roman" w:hAnsi="Times New Roman" w:cs="Times New Roman"/>
          <w:bCs/>
          <w:sz w:val="27"/>
          <w:szCs w:val="27"/>
        </w:rPr>
        <w:t xml:space="preserve"> здатність здійснювати правосуддя </w:t>
      </w:r>
      <w:r w:rsidR="005F35DC" w:rsidRPr="00A85018">
        <w:rPr>
          <w:rFonts w:ascii="Times New Roman" w:hAnsi="Times New Roman" w:cs="Times New Roman"/>
          <w:bCs/>
          <w:sz w:val="27"/>
          <w:szCs w:val="27"/>
        </w:rPr>
        <w:t>в</w:t>
      </w:r>
      <w:r w:rsidRPr="00A85018">
        <w:rPr>
          <w:rFonts w:ascii="Times New Roman" w:hAnsi="Times New Roman" w:cs="Times New Roman"/>
          <w:bCs/>
          <w:sz w:val="27"/>
          <w:szCs w:val="27"/>
        </w:rPr>
        <w:t xml:space="preserve"> апеляційному адміністративному суді.</w:t>
      </w:r>
    </w:p>
    <w:p w:rsidR="00DF18DF" w:rsidRPr="00A85018" w:rsidRDefault="00DF18DF" w:rsidP="002E1449">
      <w:pPr>
        <w:autoSpaceDE w:val="0"/>
        <w:autoSpaceDN w:val="0"/>
        <w:adjustRightInd w:val="0"/>
        <w:spacing w:after="0" w:line="235" w:lineRule="auto"/>
        <w:ind w:firstLine="709"/>
        <w:jc w:val="both"/>
        <w:rPr>
          <w:rFonts w:ascii="Times New Roman" w:hAnsi="Times New Roman" w:cs="Times New Roman"/>
          <w:bCs/>
          <w:sz w:val="27"/>
          <w:szCs w:val="27"/>
        </w:rPr>
      </w:pPr>
    </w:p>
    <w:p w:rsidR="00C54EE7" w:rsidRPr="00A85018" w:rsidRDefault="00C54EE7" w:rsidP="00297F52">
      <w:pPr>
        <w:shd w:val="clear" w:color="auto" w:fill="FFFFFF"/>
        <w:spacing w:after="0" w:line="235" w:lineRule="auto"/>
        <w:ind w:firstLine="708"/>
        <w:jc w:val="both"/>
        <w:rPr>
          <w:rFonts w:ascii="Times New Roman" w:hAnsi="Times New Roman"/>
          <w:sz w:val="27"/>
          <w:szCs w:val="27"/>
          <w:shd w:val="clear" w:color="auto" w:fill="FFFFFF"/>
        </w:rPr>
      </w:pPr>
    </w:p>
    <w:p w:rsidR="001D235E" w:rsidRPr="00A85018" w:rsidRDefault="00A85018" w:rsidP="005F35DC">
      <w:pPr>
        <w:shd w:val="clear" w:color="auto" w:fill="FFFFFF"/>
        <w:suppressAutoHyphens/>
        <w:spacing w:after="0" w:line="312" w:lineRule="auto"/>
        <w:ind w:firstLine="6"/>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Головуючий</w:t>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t xml:space="preserve">        </w:t>
      </w:r>
      <w:r w:rsidR="003C3046" w:rsidRPr="00A85018">
        <w:rPr>
          <w:rFonts w:ascii="Times New Roman" w:eastAsia="Times New Roman" w:hAnsi="Times New Roman" w:cs="Times New Roman"/>
          <w:sz w:val="27"/>
          <w:szCs w:val="27"/>
          <w:lang w:eastAsia="ar-SA"/>
        </w:rPr>
        <w:t>Андрій ПАСІЧНИК / «ЗА</w:t>
      </w:r>
    </w:p>
    <w:p w:rsidR="001D235E" w:rsidRPr="00A85018" w:rsidRDefault="001D235E" w:rsidP="005F35DC">
      <w:pPr>
        <w:shd w:val="clear" w:color="auto" w:fill="FFFFFF"/>
        <w:suppressAutoHyphens/>
        <w:spacing w:after="0" w:line="312" w:lineRule="auto"/>
        <w:ind w:firstLine="6"/>
        <w:jc w:val="both"/>
        <w:rPr>
          <w:rFonts w:ascii="Times New Roman" w:eastAsia="Times New Roman" w:hAnsi="Times New Roman" w:cs="Times New Roman"/>
          <w:sz w:val="27"/>
          <w:szCs w:val="27"/>
          <w:lang w:eastAsia="ar-SA"/>
        </w:rPr>
      </w:pPr>
    </w:p>
    <w:p w:rsidR="001D235E" w:rsidRPr="00A85018" w:rsidRDefault="00A85018" w:rsidP="005F35DC">
      <w:pPr>
        <w:shd w:val="clear" w:color="auto" w:fill="FFFFFF"/>
        <w:suppressAutoHyphens/>
        <w:spacing w:after="0" w:line="312" w:lineRule="auto"/>
        <w:ind w:firstLine="6"/>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Члени Комісії:</w:t>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t xml:space="preserve">        </w:t>
      </w:r>
      <w:r w:rsidR="001D235E" w:rsidRPr="00A85018">
        <w:rPr>
          <w:rFonts w:ascii="Times New Roman" w:eastAsia="Times New Roman" w:hAnsi="Times New Roman" w:cs="Times New Roman"/>
          <w:sz w:val="27"/>
          <w:szCs w:val="27"/>
          <w:lang w:eastAsia="ar-SA"/>
        </w:rPr>
        <w:t>Михайло БОГОНІС</w:t>
      </w:r>
      <w:r w:rsidR="003C3046" w:rsidRPr="00A85018">
        <w:rPr>
          <w:rFonts w:ascii="Times New Roman" w:eastAsia="Times New Roman" w:hAnsi="Times New Roman" w:cs="Times New Roman"/>
          <w:sz w:val="27"/>
          <w:szCs w:val="27"/>
          <w:lang w:eastAsia="ar-SA"/>
        </w:rPr>
        <w:t xml:space="preserve"> / «ЗА</w:t>
      </w:r>
    </w:p>
    <w:p w:rsidR="001D235E" w:rsidRPr="00A85018" w:rsidRDefault="001D235E"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p>
    <w:p w:rsidR="001D235E" w:rsidRPr="00A85018" w:rsidRDefault="001D235E"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r w:rsidRPr="00A85018">
        <w:rPr>
          <w:rFonts w:ascii="Times New Roman" w:eastAsia="Times New Roman" w:hAnsi="Times New Roman" w:cs="Times New Roman"/>
          <w:sz w:val="27"/>
          <w:szCs w:val="27"/>
          <w:lang w:eastAsia="ar-SA"/>
        </w:rPr>
        <w:t>Віталій ГАЦЕЛЮК</w:t>
      </w:r>
      <w:r w:rsidR="003C3046" w:rsidRPr="00A85018">
        <w:rPr>
          <w:rFonts w:ascii="Times New Roman" w:eastAsia="Times New Roman" w:hAnsi="Times New Roman" w:cs="Times New Roman"/>
          <w:sz w:val="27"/>
          <w:szCs w:val="27"/>
          <w:lang w:eastAsia="ar-SA"/>
        </w:rPr>
        <w:t xml:space="preserve"> / «ЗА</w:t>
      </w:r>
    </w:p>
    <w:p w:rsidR="001D235E" w:rsidRPr="00A85018" w:rsidRDefault="001D235E"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p>
    <w:p w:rsidR="001D235E" w:rsidRPr="00A85018" w:rsidRDefault="001D235E"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r w:rsidRPr="00A85018">
        <w:rPr>
          <w:rFonts w:ascii="Times New Roman" w:eastAsia="Times New Roman" w:hAnsi="Times New Roman" w:cs="Times New Roman"/>
          <w:sz w:val="27"/>
          <w:szCs w:val="27"/>
          <w:lang w:eastAsia="ar-SA"/>
        </w:rPr>
        <w:t>Роман КИДИСЮК</w:t>
      </w:r>
      <w:r w:rsidR="003C3046" w:rsidRPr="00A85018">
        <w:rPr>
          <w:rFonts w:ascii="Times New Roman" w:eastAsia="Times New Roman" w:hAnsi="Times New Roman" w:cs="Times New Roman"/>
          <w:sz w:val="27"/>
          <w:szCs w:val="27"/>
          <w:lang w:eastAsia="ar-SA"/>
        </w:rPr>
        <w:t xml:space="preserve"> / «ЗА</w:t>
      </w:r>
    </w:p>
    <w:p w:rsidR="001D235E" w:rsidRPr="00A85018" w:rsidRDefault="001D235E"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p>
    <w:p w:rsidR="001D235E" w:rsidRPr="00A85018" w:rsidRDefault="001D235E"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r w:rsidRPr="00A85018">
        <w:rPr>
          <w:rFonts w:ascii="Times New Roman" w:eastAsia="Times New Roman" w:hAnsi="Times New Roman" w:cs="Times New Roman"/>
          <w:sz w:val="27"/>
          <w:szCs w:val="27"/>
          <w:lang w:eastAsia="ar-SA"/>
        </w:rPr>
        <w:t>Надія КОБЕЦЬКА</w:t>
      </w:r>
      <w:r w:rsidR="003C3046" w:rsidRPr="00A85018">
        <w:rPr>
          <w:rFonts w:ascii="Times New Roman" w:eastAsia="Times New Roman" w:hAnsi="Times New Roman" w:cs="Times New Roman"/>
          <w:sz w:val="27"/>
          <w:szCs w:val="27"/>
          <w:lang w:eastAsia="ar-SA"/>
        </w:rPr>
        <w:t xml:space="preserve"> / «ЗА</w:t>
      </w:r>
    </w:p>
    <w:p w:rsidR="001D235E" w:rsidRPr="00A85018" w:rsidRDefault="001D235E"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p>
    <w:p w:rsidR="001D235E" w:rsidRPr="00A85018" w:rsidRDefault="001D235E"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r w:rsidRPr="00A85018">
        <w:rPr>
          <w:rFonts w:ascii="Times New Roman" w:eastAsia="Times New Roman" w:hAnsi="Times New Roman" w:cs="Times New Roman"/>
          <w:sz w:val="27"/>
          <w:szCs w:val="27"/>
          <w:lang w:eastAsia="ar-SA"/>
        </w:rPr>
        <w:t>Олег КОЛІУШ</w:t>
      </w:r>
      <w:r w:rsidR="003C3046" w:rsidRPr="00A85018">
        <w:rPr>
          <w:rFonts w:ascii="Times New Roman" w:eastAsia="Times New Roman" w:hAnsi="Times New Roman" w:cs="Times New Roman"/>
          <w:sz w:val="27"/>
          <w:szCs w:val="27"/>
          <w:lang w:eastAsia="ar-SA"/>
        </w:rPr>
        <w:t xml:space="preserve"> / «ЗА</w:t>
      </w:r>
    </w:p>
    <w:p w:rsidR="001D235E" w:rsidRPr="00A85018" w:rsidRDefault="001D235E"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p>
    <w:p w:rsidR="001D235E" w:rsidRPr="00A85018" w:rsidRDefault="001D235E"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r w:rsidRPr="00A85018">
        <w:rPr>
          <w:rFonts w:ascii="Times New Roman" w:eastAsia="Times New Roman" w:hAnsi="Times New Roman" w:cs="Times New Roman"/>
          <w:sz w:val="27"/>
          <w:szCs w:val="27"/>
          <w:lang w:eastAsia="ar-SA"/>
        </w:rPr>
        <w:t>Володимир ЛУГАНСЬКИЙ</w:t>
      </w:r>
      <w:r w:rsidR="003C3046" w:rsidRPr="00A85018">
        <w:rPr>
          <w:rFonts w:ascii="Times New Roman" w:eastAsia="Times New Roman" w:hAnsi="Times New Roman" w:cs="Times New Roman"/>
          <w:sz w:val="27"/>
          <w:szCs w:val="27"/>
          <w:lang w:eastAsia="ar-SA"/>
        </w:rPr>
        <w:t xml:space="preserve"> / «ЗА</w:t>
      </w:r>
    </w:p>
    <w:p w:rsidR="001D235E" w:rsidRPr="00A85018" w:rsidRDefault="001D235E"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p>
    <w:p w:rsidR="001D235E" w:rsidRPr="00A85018" w:rsidRDefault="001D235E"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r w:rsidRPr="00A85018">
        <w:rPr>
          <w:rFonts w:ascii="Times New Roman" w:eastAsia="Times New Roman" w:hAnsi="Times New Roman" w:cs="Times New Roman"/>
          <w:sz w:val="27"/>
          <w:szCs w:val="27"/>
          <w:lang w:eastAsia="ar-SA"/>
        </w:rPr>
        <w:t>Руслан МЕЛЬНИК</w:t>
      </w:r>
      <w:r w:rsidRPr="00A85018">
        <w:rPr>
          <w:rFonts w:ascii="Times New Roman" w:eastAsia="Times New Roman" w:hAnsi="Times New Roman" w:cs="Times New Roman"/>
          <w:sz w:val="27"/>
          <w:szCs w:val="27"/>
          <w:lang w:eastAsia="ar-SA"/>
        </w:rPr>
        <w:tab/>
      </w:r>
      <w:r w:rsidR="003C3046" w:rsidRPr="00A85018">
        <w:rPr>
          <w:rFonts w:ascii="Times New Roman" w:eastAsia="Times New Roman" w:hAnsi="Times New Roman" w:cs="Times New Roman"/>
          <w:sz w:val="27"/>
          <w:szCs w:val="27"/>
          <w:lang w:eastAsia="ar-SA"/>
        </w:rPr>
        <w:t xml:space="preserve"> / «ПРОТИ»</w:t>
      </w:r>
    </w:p>
    <w:p w:rsidR="003C3046" w:rsidRPr="00A85018" w:rsidRDefault="003C3046"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p>
    <w:p w:rsidR="003C3046" w:rsidRPr="00A85018" w:rsidRDefault="003C3046"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r w:rsidRPr="00A85018">
        <w:rPr>
          <w:rFonts w:ascii="Times New Roman" w:eastAsia="Times New Roman" w:hAnsi="Times New Roman" w:cs="Times New Roman"/>
          <w:sz w:val="27"/>
          <w:szCs w:val="27"/>
          <w:lang w:eastAsia="ar-SA"/>
        </w:rPr>
        <w:t>Олексій ОМЕЛЬЯН / «ЗА</w:t>
      </w:r>
    </w:p>
    <w:p w:rsidR="001D235E" w:rsidRPr="00A85018" w:rsidRDefault="001D235E"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p>
    <w:p w:rsidR="001D235E" w:rsidRPr="00A85018" w:rsidRDefault="001D235E"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r w:rsidRPr="00A85018">
        <w:rPr>
          <w:rFonts w:ascii="Times New Roman" w:eastAsia="Times New Roman" w:hAnsi="Times New Roman" w:cs="Times New Roman"/>
          <w:sz w:val="27"/>
          <w:szCs w:val="27"/>
          <w:lang w:eastAsia="ar-SA"/>
        </w:rPr>
        <w:t>Роман САБОДАШ</w:t>
      </w:r>
      <w:r w:rsidR="003C3046" w:rsidRPr="00A85018">
        <w:rPr>
          <w:rFonts w:ascii="Times New Roman" w:eastAsia="Times New Roman" w:hAnsi="Times New Roman" w:cs="Times New Roman"/>
          <w:sz w:val="27"/>
          <w:szCs w:val="27"/>
          <w:lang w:eastAsia="ar-SA"/>
        </w:rPr>
        <w:t xml:space="preserve"> / «ПРОТИ»</w:t>
      </w:r>
    </w:p>
    <w:p w:rsidR="001D235E" w:rsidRPr="00A85018" w:rsidRDefault="001D235E"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p>
    <w:p w:rsidR="001D235E" w:rsidRPr="00A85018" w:rsidRDefault="001D235E"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r w:rsidRPr="00A85018">
        <w:rPr>
          <w:rFonts w:ascii="Times New Roman" w:eastAsia="Times New Roman" w:hAnsi="Times New Roman" w:cs="Times New Roman"/>
          <w:sz w:val="27"/>
          <w:szCs w:val="27"/>
          <w:lang w:eastAsia="ar-SA"/>
        </w:rPr>
        <w:t>Руслан СИДОРОВИЧ</w:t>
      </w:r>
      <w:r w:rsidR="003C3046" w:rsidRPr="00A85018">
        <w:rPr>
          <w:rFonts w:ascii="Times New Roman" w:eastAsia="Times New Roman" w:hAnsi="Times New Roman" w:cs="Times New Roman"/>
          <w:sz w:val="27"/>
          <w:szCs w:val="27"/>
          <w:lang w:eastAsia="ar-SA"/>
        </w:rPr>
        <w:t xml:space="preserve"> / «ЗА</w:t>
      </w:r>
    </w:p>
    <w:p w:rsidR="00AB4A48" w:rsidRPr="00A85018" w:rsidRDefault="00AB4A48"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eastAsia="ar-SA"/>
        </w:rPr>
      </w:pPr>
    </w:p>
    <w:p w:rsidR="0099428D" w:rsidRPr="00A85018" w:rsidRDefault="00AB4A48" w:rsidP="00A85018">
      <w:pPr>
        <w:shd w:val="clear" w:color="auto" w:fill="FFFFFF"/>
        <w:suppressAutoHyphens/>
        <w:spacing w:after="0" w:line="312" w:lineRule="auto"/>
        <w:ind w:left="5529" w:firstLine="6"/>
        <w:jc w:val="both"/>
        <w:rPr>
          <w:rFonts w:ascii="Times New Roman" w:eastAsia="Times New Roman" w:hAnsi="Times New Roman" w:cs="Times New Roman"/>
          <w:sz w:val="27"/>
          <w:szCs w:val="27"/>
          <w:lang w:val="en-US" w:eastAsia="ar-SA"/>
        </w:rPr>
      </w:pPr>
      <w:r w:rsidRPr="00A85018">
        <w:rPr>
          <w:rFonts w:ascii="Times New Roman" w:eastAsia="Times New Roman" w:hAnsi="Times New Roman" w:cs="Times New Roman"/>
          <w:sz w:val="27"/>
          <w:szCs w:val="27"/>
          <w:lang w:eastAsia="ar-SA"/>
        </w:rPr>
        <w:t>Галина ШЕВЧУК</w:t>
      </w:r>
      <w:r w:rsidR="003C3046" w:rsidRPr="00A85018">
        <w:rPr>
          <w:rFonts w:ascii="Times New Roman" w:eastAsia="Times New Roman" w:hAnsi="Times New Roman" w:cs="Times New Roman"/>
          <w:sz w:val="27"/>
          <w:szCs w:val="27"/>
          <w:lang w:eastAsia="ar-SA"/>
        </w:rPr>
        <w:t xml:space="preserve"> / «ЗА</w:t>
      </w:r>
    </w:p>
    <w:sectPr w:rsidR="0099428D" w:rsidRPr="00A85018"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B5F4B" w:rsidRDefault="006B5F4B" w:rsidP="005F2A2E">
      <w:pPr>
        <w:spacing w:after="0" w:line="240" w:lineRule="auto"/>
      </w:pPr>
      <w:r>
        <w:separator/>
      </w:r>
    </w:p>
  </w:endnote>
  <w:endnote w:type="continuationSeparator" w:id="0">
    <w:p w:rsidR="006B5F4B" w:rsidRDefault="006B5F4B"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B5F4B" w:rsidRDefault="006B5F4B" w:rsidP="005F2A2E">
      <w:pPr>
        <w:spacing w:after="0" w:line="240" w:lineRule="auto"/>
      </w:pPr>
      <w:r>
        <w:separator/>
      </w:r>
    </w:p>
  </w:footnote>
  <w:footnote w:type="continuationSeparator" w:id="0">
    <w:p w:rsidR="006B5F4B" w:rsidRDefault="006B5F4B"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F84A80" w:rsidRDefault="00F84A80">
        <w:pPr>
          <w:pStyle w:val="a7"/>
          <w:jc w:val="center"/>
        </w:pPr>
        <w:r>
          <w:fldChar w:fldCharType="begin"/>
        </w:r>
        <w:r>
          <w:instrText>PAGE   \* MERGEFORMAT</w:instrText>
        </w:r>
        <w:r>
          <w:fldChar w:fldCharType="separate"/>
        </w:r>
        <w:r w:rsidR="00A85018">
          <w:rPr>
            <w:noProof/>
          </w:rPr>
          <w:t>10</w:t>
        </w:r>
        <w:r>
          <w:fldChar w:fldCharType="end"/>
        </w:r>
      </w:p>
    </w:sdtContent>
  </w:sdt>
  <w:p w:rsidR="00F84A80" w:rsidRDefault="00F84A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CD6706C"/>
    <w:multiLevelType w:val="hybridMultilevel"/>
    <w:tmpl w:val="8D323352"/>
    <w:lvl w:ilvl="0" w:tplc="F4E6A200">
      <w:start w:val="9"/>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5DB5452E"/>
    <w:multiLevelType w:val="hybridMultilevel"/>
    <w:tmpl w:val="D10C6828"/>
    <w:lvl w:ilvl="0" w:tplc="1D50CFF6">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7082"/>
    <w:rsid w:val="00024E2B"/>
    <w:rsid w:val="00032BD2"/>
    <w:rsid w:val="00033DC2"/>
    <w:rsid w:val="000353E5"/>
    <w:rsid w:val="0003560C"/>
    <w:rsid w:val="0004259C"/>
    <w:rsid w:val="00045645"/>
    <w:rsid w:val="00045C3B"/>
    <w:rsid w:val="00061EA7"/>
    <w:rsid w:val="0006616B"/>
    <w:rsid w:val="00067C98"/>
    <w:rsid w:val="00070F48"/>
    <w:rsid w:val="000762C5"/>
    <w:rsid w:val="00076B66"/>
    <w:rsid w:val="00080C1D"/>
    <w:rsid w:val="00082535"/>
    <w:rsid w:val="000825F0"/>
    <w:rsid w:val="00086F3E"/>
    <w:rsid w:val="00091839"/>
    <w:rsid w:val="00091D22"/>
    <w:rsid w:val="00095EF2"/>
    <w:rsid w:val="000971B8"/>
    <w:rsid w:val="000A26D2"/>
    <w:rsid w:val="000A2BF1"/>
    <w:rsid w:val="000A3251"/>
    <w:rsid w:val="000A5DE2"/>
    <w:rsid w:val="000A6EA3"/>
    <w:rsid w:val="000B07E7"/>
    <w:rsid w:val="000B2BBA"/>
    <w:rsid w:val="000C14D6"/>
    <w:rsid w:val="000C3F1D"/>
    <w:rsid w:val="000C4598"/>
    <w:rsid w:val="000D07F9"/>
    <w:rsid w:val="000D3DC9"/>
    <w:rsid w:val="000D7FD3"/>
    <w:rsid w:val="000E2C32"/>
    <w:rsid w:val="000F0C9B"/>
    <w:rsid w:val="000F1077"/>
    <w:rsid w:val="000F48FF"/>
    <w:rsid w:val="000F4C5B"/>
    <w:rsid w:val="000F53DC"/>
    <w:rsid w:val="000F5AEB"/>
    <w:rsid w:val="0010454C"/>
    <w:rsid w:val="00116338"/>
    <w:rsid w:val="00124BE2"/>
    <w:rsid w:val="00124F77"/>
    <w:rsid w:val="001275AC"/>
    <w:rsid w:val="0012765C"/>
    <w:rsid w:val="00131392"/>
    <w:rsid w:val="001372FB"/>
    <w:rsid w:val="00144564"/>
    <w:rsid w:val="001468DF"/>
    <w:rsid w:val="00154A9F"/>
    <w:rsid w:val="001569F1"/>
    <w:rsid w:val="0015748D"/>
    <w:rsid w:val="001635BE"/>
    <w:rsid w:val="00164991"/>
    <w:rsid w:val="00165935"/>
    <w:rsid w:val="00171468"/>
    <w:rsid w:val="00171F85"/>
    <w:rsid w:val="001743FC"/>
    <w:rsid w:val="00176F3D"/>
    <w:rsid w:val="00177C64"/>
    <w:rsid w:val="00185941"/>
    <w:rsid w:val="00186CBB"/>
    <w:rsid w:val="001924B6"/>
    <w:rsid w:val="001A2217"/>
    <w:rsid w:val="001A5A5F"/>
    <w:rsid w:val="001A6763"/>
    <w:rsid w:val="001A7FC9"/>
    <w:rsid w:val="001B00C1"/>
    <w:rsid w:val="001B0412"/>
    <w:rsid w:val="001B1173"/>
    <w:rsid w:val="001B1885"/>
    <w:rsid w:val="001C2A07"/>
    <w:rsid w:val="001C5E95"/>
    <w:rsid w:val="001C61C3"/>
    <w:rsid w:val="001D235E"/>
    <w:rsid w:val="001D58BF"/>
    <w:rsid w:val="001D7D45"/>
    <w:rsid w:val="001E6ABE"/>
    <w:rsid w:val="001F0BF8"/>
    <w:rsid w:val="001F7A07"/>
    <w:rsid w:val="00202C99"/>
    <w:rsid w:val="00203DE1"/>
    <w:rsid w:val="0020692E"/>
    <w:rsid w:val="0020698B"/>
    <w:rsid w:val="00207F99"/>
    <w:rsid w:val="00210D3A"/>
    <w:rsid w:val="002166DE"/>
    <w:rsid w:val="002167F5"/>
    <w:rsid w:val="002169FA"/>
    <w:rsid w:val="00217225"/>
    <w:rsid w:val="0022128D"/>
    <w:rsid w:val="00223887"/>
    <w:rsid w:val="00232DA0"/>
    <w:rsid w:val="00233714"/>
    <w:rsid w:val="002405E4"/>
    <w:rsid w:val="0024469F"/>
    <w:rsid w:val="00244977"/>
    <w:rsid w:val="002455F9"/>
    <w:rsid w:val="002465C4"/>
    <w:rsid w:val="0024755D"/>
    <w:rsid w:val="002510CB"/>
    <w:rsid w:val="00252BB0"/>
    <w:rsid w:val="00260BFB"/>
    <w:rsid w:val="0026286D"/>
    <w:rsid w:val="00264239"/>
    <w:rsid w:val="0027477B"/>
    <w:rsid w:val="00280A16"/>
    <w:rsid w:val="0028346A"/>
    <w:rsid w:val="00286F34"/>
    <w:rsid w:val="00297F52"/>
    <w:rsid w:val="002A1122"/>
    <w:rsid w:val="002A4EFF"/>
    <w:rsid w:val="002A5A0E"/>
    <w:rsid w:val="002B7655"/>
    <w:rsid w:val="002B793C"/>
    <w:rsid w:val="002B7B55"/>
    <w:rsid w:val="002C399C"/>
    <w:rsid w:val="002E0061"/>
    <w:rsid w:val="002E1449"/>
    <w:rsid w:val="002E1A3C"/>
    <w:rsid w:val="002E468E"/>
    <w:rsid w:val="002E73C9"/>
    <w:rsid w:val="002E7C73"/>
    <w:rsid w:val="002F0A30"/>
    <w:rsid w:val="002F4AE5"/>
    <w:rsid w:val="002F4E08"/>
    <w:rsid w:val="002F6875"/>
    <w:rsid w:val="00301A9B"/>
    <w:rsid w:val="003036BC"/>
    <w:rsid w:val="003058D1"/>
    <w:rsid w:val="00313284"/>
    <w:rsid w:val="00317DD5"/>
    <w:rsid w:val="00320086"/>
    <w:rsid w:val="00322686"/>
    <w:rsid w:val="00325783"/>
    <w:rsid w:val="0032747F"/>
    <w:rsid w:val="00330910"/>
    <w:rsid w:val="003340D0"/>
    <w:rsid w:val="00335ABA"/>
    <w:rsid w:val="00335E29"/>
    <w:rsid w:val="00340DDB"/>
    <w:rsid w:val="00354D03"/>
    <w:rsid w:val="0035537A"/>
    <w:rsid w:val="003631D3"/>
    <w:rsid w:val="0037470A"/>
    <w:rsid w:val="003750B6"/>
    <w:rsid w:val="003772DC"/>
    <w:rsid w:val="003859E6"/>
    <w:rsid w:val="00387FF8"/>
    <w:rsid w:val="00390FD3"/>
    <w:rsid w:val="003911C9"/>
    <w:rsid w:val="00394C46"/>
    <w:rsid w:val="003A530B"/>
    <w:rsid w:val="003A61A2"/>
    <w:rsid w:val="003A7D4A"/>
    <w:rsid w:val="003B29A0"/>
    <w:rsid w:val="003B54C1"/>
    <w:rsid w:val="003B5B83"/>
    <w:rsid w:val="003B7982"/>
    <w:rsid w:val="003C3046"/>
    <w:rsid w:val="003D1C11"/>
    <w:rsid w:val="003D4CD5"/>
    <w:rsid w:val="003D6736"/>
    <w:rsid w:val="003D6E3A"/>
    <w:rsid w:val="003E1C89"/>
    <w:rsid w:val="003E4A58"/>
    <w:rsid w:val="003F6F9E"/>
    <w:rsid w:val="003F79C1"/>
    <w:rsid w:val="00405F0C"/>
    <w:rsid w:val="004072FD"/>
    <w:rsid w:val="0041622F"/>
    <w:rsid w:val="0042605B"/>
    <w:rsid w:val="004301D5"/>
    <w:rsid w:val="004331B7"/>
    <w:rsid w:val="00433665"/>
    <w:rsid w:val="00436A5A"/>
    <w:rsid w:val="00442870"/>
    <w:rsid w:val="00447A36"/>
    <w:rsid w:val="00452576"/>
    <w:rsid w:val="004569EF"/>
    <w:rsid w:val="00460CD1"/>
    <w:rsid w:val="00462213"/>
    <w:rsid w:val="004622D9"/>
    <w:rsid w:val="004645FC"/>
    <w:rsid w:val="0046697B"/>
    <w:rsid w:val="0047252C"/>
    <w:rsid w:val="00474A45"/>
    <w:rsid w:val="0047504F"/>
    <w:rsid w:val="00475316"/>
    <w:rsid w:val="00475A3C"/>
    <w:rsid w:val="00477B81"/>
    <w:rsid w:val="004813C9"/>
    <w:rsid w:val="0048189E"/>
    <w:rsid w:val="00485E20"/>
    <w:rsid w:val="004960E2"/>
    <w:rsid w:val="004A546D"/>
    <w:rsid w:val="004A6513"/>
    <w:rsid w:val="004A66AA"/>
    <w:rsid w:val="004B1745"/>
    <w:rsid w:val="004B4F3B"/>
    <w:rsid w:val="004C2573"/>
    <w:rsid w:val="004D3B5E"/>
    <w:rsid w:val="004D48B2"/>
    <w:rsid w:val="004D5A83"/>
    <w:rsid w:val="004E6F7C"/>
    <w:rsid w:val="004F001D"/>
    <w:rsid w:val="004F16AC"/>
    <w:rsid w:val="004F528F"/>
    <w:rsid w:val="004F6FF3"/>
    <w:rsid w:val="004F79F6"/>
    <w:rsid w:val="004F7FF8"/>
    <w:rsid w:val="00500087"/>
    <w:rsid w:val="0050474A"/>
    <w:rsid w:val="0050489F"/>
    <w:rsid w:val="005107BB"/>
    <w:rsid w:val="00512022"/>
    <w:rsid w:val="00516620"/>
    <w:rsid w:val="00516D70"/>
    <w:rsid w:val="00520D20"/>
    <w:rsid w:val="0053046C"/>
    <w:rsid w:val="00531B37"/>
    <w:rsid w:val="005329EE"/>
    <w:rsid w:val="00532C02"/>
    <w:rsid w:val="0054164F"/>
    <w:rsid w:val="005420DC"/>
    <w:rsid w:val="00545DA5"/>
    <w:rsid w:val="0055209A"/>
    <w:rsid w:val="00554D8D"/>
    <w:rsid w:val="005647AD"/>
    <w:rsid w:val="00565EEA"/>
    <w:rsid w:val="0057190C"/>
    <w:rsid w:val="005731D2"/>
    <w:rsid w:val="00577218"/>
    <w:rsid w:val="005805C5"/>
    <w:rsid w:val="00582CB9"/>
    <w:rsid w:val="00595130"/>
    <w:rsid w:val="005952EB"/>
    <w:rsid w:val="00596429"/>
    <w:rsid w:val="00597363"/>
    <w:rsid w:val="005A389A"/>
    <w:rsid w:val="005A3F3C"/>
    <w:rsid w:val="005B03F9"/>
    <w:rsid w:val="005B3796"/>
    <w:rsid w:val="005B4707"/>
    <w:rsid w:val="005B55E4"/>
    <w:rsid w:val="005B6265"/>
    <w:rsid w:val="005C169B"/>
    <w:rsid w:val="005C7087"/>
    <w:rsid w:val="005D0731"/>
    <w:rsid w:val="005D15CC"/>
    <w:rsid w:val="005D1F3D"/>
    <w:rsid w:val="005D7984"/>
    <w:rsid w:val="005E0D3B"/>
    <w:rsid w:val="005E6877"/>
    <w:rsid w:val="005E6CD8"/>
    <w:rsid w:val="005F1D29"/>
    <w:rsid w:val="005F2A2E"/>
    <w:rsid w:val="005F35DC"/>
    <w:rsid w:val="005F3E98"/>
    <w:rsid w:val="005F4681"/>
    <w:rsid w:val="005F525B"/>
    <w:rsid w:val="005F770C"/>
    <w:rsid w:val="00617C1E"/>
    <w:rsid w:val="00617DBA"/>
    <w:rsid w:val="00621490"/>
    <w:rsid w:val="0062742D"/>
    <w:rsid w:val="00630CE0"/>
    <w:rsid w:val="00654898"/>
    <w:rsid w:val="00656D8E"/>
    <w:rsid w:val="00663349"/>
    <w:rsid w:val="006634FC"/>
    <w:rsid w:val="006671D4"/>
    <w:rsid w:val="0066775B"/>
    <w:rsid w:val="00673F1D"/>
    <w:rsid w:val="0067745C"/>
    <w:rsid w:val="00680F5B"/>
    <w:rsid w:val="0068336C"/>
    <w:rsid w:val="00685E84"/>
    <w:rsid w:val="006872D9"/>
    <w:rsid w:val="00691D05"/>
    <w:rsid w:val="00695DFB"/>
    <w:rsid w:val="006964CD"/>
    <w:rsid w:val="006A5732"/>
    <w:rsid w:val="006A5E22"/>
    <w:rsid w:val="006A7FA6"/>
    <w:rsid w:val="006B0F9D"/>
    <w:rsid w:val="006B3B40"/>
    <w:rsid w:val="006B5F4B"/>
    <w:rsid w:val="006B6375"/>
    <w:rsid w:val="006B6978"/>
    <w:rsid w:val="006B7D89"/>
    <w:rsid w:val="006C74A9"/>
    <w:rsid w:val="006C7C95"/>
    <w:rsid w:val="006D2079"/>
    <w:rsid w:val="006E3D35"/>
    <w:rsid w:val="006E66FE"/>
    <w:rsid w:val="006E71BE"/>
    <w:rsid w:val="006E7E83"/>
    <w:rsid w:val="006F1D4F"/>
    <w:rsid w:val="0070366A"/>
    <w:rsid w:val="007057E9"/>
    <w:rsid w:val="00715D94"/>
    <w:rsid w:val="007201F7"/>
    <w:rsid w:val="00722732"/>
    <w:rsid w:val="00723394"/>
    <w:rsid w:val="0072626E"/>
    <w:rsid w:val="0073015A"/>
    <w:rsid w:val="00735A4C"/>
    <w:rsid w:val="00740397"/>
    <w:rsid w:val="0074210B"/>
    <w:rsid w:val="00742ED2"/>
    <w:rsid w:val="00744569"/>
    <w:rsid w:val="007514BA"/>
    <w:rsid w:val="0075496D"/>
    <w:rsid w:val="00757B3B"/>
    <w:rsid w:val="00757C26"/>
    <w:rsid w:val="0076106E"/>
    <w:rsid w:val="00767796"/>
    <w:rsid w:val="00767BAD"/>
    <w:rsid w:val="00773986"/>
    <w:rsid w:val="00776DC4"/>
    <w:rsid w:val="007817FB"/>
    <w:rsid w:val="00781F70"/>
    <w:rsid w:val="00784BF7"/>
    <w:rsid w:val="00785114"/>
    <w:rsid w:val="007876BC"/>
    <w:rsid w:val="00787AB5"/>
    <w:rsid w:val="007929F3"/>
    <w:rsid w:val="00795DB8"/>
    <w:rsid w:val="007963B8"/>
    <w:rsid w:val="007A311C"/>
    <w:rsid w:val="007A3870"/>
    <w:rsid w:val="007A5FF0"/>
    <w:rsid w:val="007A61F0"/>
    <w:rsid w:val="007A659A"/>
    <w:rsid w:val="007B2D97"/>
    <w:rsid w:val="007B692A"/>
    <w:rsid w:val="007C1900"/>
    <w:rsid w:val="007C4DAA"/>
    <w:rsid w:val="007C614F"/>
    <w:rsid w:val="007C773F"/>
    <w:rsid w:val="007D27D7"/>
    <w:rsid w:val="007D3D02"/>
    <w:rsid w:val="007D4710"/>
    <w:rsid w:val="007F2FCC"/>
    <w:rsid w:val="007F461C"/>
    <w:rsid w:val="00800DD2"/>
    <w:rsid w:val="00806580"/>
    <w:rsid w:val="008120AE"/>
    <w:rsid w:val="00812509"/>
    <w:rsid w:val="00816005"/>
    <w:rsid w:val="00820103"/>
    <w:rsid w:val="008220CA"/>
    <w:rsid w:val="00822A68"/>
    <w:rsid w:val="0082548B"/>
    <w:rsid w:val="00827FBF"/>
    <w:rsid w:val="00830F53"/>
    <w:rsid w:val="008312E5"/>
    <w:rsid w:val="008319E9"/>
    <w:rsid w:val="0083558C"/>
    <w:rsid w:val="00836302"/>
    <w:rsid w:val="0083651E"/>
    <w:rsid w:val="008421C3"/>
    <w:rsid w:val="00842B5B"/>
    <w:rsid w:val="0085072A"/>
    <w:rsid w:val="008517DD"/>
    <w:rsid w:val="0085325E"/>
    <w:rsid w:val="008551F8"/>
    <w:rsid w:val="00860392"/>
    <w:rsid w:val="0086453E"/>
    <w:rsid w:val="008669F4"/>
    <w:rsid w:val="00870BC5"/>
    <w:rsid w:val="0087253D"/>
    <w:rsid w:val="00876E73"/>
    <w:rsid w:val="0088063E"/>
    <w:rsid w:val="00881307"/>
    <w:rsid w:val="00883322"/>
    <w:rsid w:val="008911BA"/>
    <w:rsid w:val="00895FAD"/>
    <w:rsid w:val="00896177"/>
    <w:rsid w:val="008A47B1"/>
    <w:rsid w:val="008A597C"/>
    <w:rsid w:val="008B66B8"/>
    <w:rsid w:val="008C1149"/>
    <w:rsid w:val="008C2BF1"/>
    <w:rsid w:val="008C6E5D"/>
    <w:rsid w:val="008D0DB0"/>
    <w:rsid w:val="008D7EC8"/>
    <w:rsid w:val="008E2323"/>
    <w:rsid w:val="008E2334"/>
    <w:rsid w:val="008E5BFA"/>
    <w:rsid w:val="00901E29"/>
    <w:rsid w:val="00902CAA"/>
    <w:rsid w:val="00902DAA"/>
    <w:rsid w:val="00904F15"/>
    <w:rsid w:val="0091113E"/>
    <w:rsid w:val="00911BEA"/>
    <w:rsid w:val="00912C1C"/>
    <w:rsid w:val="00913C43"/>
    <w:rsid w:val="00914857"/>
    <w:rsid w:val="009212C0"/>
    <w:rsid w:val="009217E5"/>
    <w:rsid w:val="00923D84"/>
    <w:rsid w:val="009248CE"/>
    <w:rsid w:val="00932BFE"/>
    <w:rsid w:val="0093359A"/>
    <w:rsid w:val="00946435"/>
    <w:rsid w:val="00951662"/>
    <w:rsid w:val="0095219E"/>
    <w:rsid w:val="009524DD"/>
    <w:rsid w:val="00953068"/>
    <w:rsid w:val="009543D5"/>
    <w:rsid w:val="00956B22"/>
    <w:rsid w:val="0096525C"/>
    <w:rsid w:val="009656F3"/>
    <w:rsid w:val="009730EC"/>
    <w:rsid w:val="00975AB4"/>
    <w:rsid w:val="00982F91"/>
    <w:rsid w:val="00983D12"/>
    <w:rsid w:val="0098437C"/>
    <w:rsid w:val="00985690"/>
    <w:rsid w:val="00987CE1"/>
    <w:rsid w:val="0099195D"/>
    <w:rsid w:val="009920EE"/>
    <w:rsid w:val="0099428D"/>
    <w:rsid w:val="00994295"/>
    <w:rsid w:val="009960D2"/>
    <w:rsid w:val="0099622A"/>
    <w:rsid w:val="00997742"/>
    <w:rsid w:val="009A25B1"/>
    <w:rsid w:val="009A39A7"/>
    <w:rsid w:val="009A5422"/>
    <w:rsid w:val="009B62A0"/>
    <w:rsid w:val="009C34DD"/>
    <w:rsid w:val="009D2590"/>
    <w:rsid w:val="009D6CC2"/>
    <w:rsid w:val="009E3449"/>
    <w:rsid w:val="009F3B3D"/>
    <w:rsid w:val="009F4D3C"/>
    <w:rsid w:val="009F5089"/>
    <w:rsid w:val="009F75C1"/>
    <w:rsid w:val="009F7DF4"/>
    <w:rsid w:val="00A13211"/>
    <w:rsid w:val="00A15DF0"/>
    <w:rsid w:val="00A179D6"/>
    <w:rsid w:val="00A17C8B"/>
    <w:rsid w:val="00A22F96"/>
    <w:rsid w:val="00A23A48"/>
    <w:rsid w:val="00A25FB3"/>
    <w:rsid w:val="00A30BF4"/>
    <w:rsid w:val="00A35A70"/>
    <w:rsid w:val="00A4064A"/>
    <w:rsid w:val="00A40F7C"/>
    <w:rsid w:val="00A41246"/>
    <w:rsid w:val="00A41EBE"/>
    <w:rsid w:val="00A451FA"/>
    <w:rsid w:val="00A45361"/>
    <w:rsid w:val="00A46823"/>
    <w:rsid w:val="00A54699"/>
    <w:rsid w:val="00A57D39"/>
    <w:rsid w:val="00A62EA0"/>
    <w:rsid w:val="00A653A1"/>
    <w:rsid w:val="00A66EAF"/>
    <w:rsid w:val="00A67988"/>
    <w:rsid w:val="00A72608"/>
    <w:rsid w:val="00A7605B"/>
    <w:rsid w:val="00A77177"/>
    <w:rsid w:val="00A81E36"/>
    <w:rsid w:val="00A85018"/>
    <w:rsid w:val="00A918B5"/>
    <w:rsid w:val="00A9247D"/>
    <w:rsid w:val="00A92DFE"/>
    <w:rsid w:val="00A95AEB"/>
    <w:rsid w:val="00AA6AB2"/>
    <w:rsid w:val="00AB1761"/>
    <w:rsid w:val="00AB4A48"/>
    <w:rsid w:val="00AC04AB"/>
    <w:rsid w:val="00AC2B9E"/>
    <w:rsid w:val="00AC55CD"/>
    <w:rsid w:val="00AC7071"/>
    <w:rsid w:val="00AC7911"/>
    <w:rsid w:val="00AE1E9A"/>
    <w:rsid w:val="00AF1246"/>
    <w:rsid w:val="00AF310C"/>
    <w:rsid w:val="00AF4E0B"/>
    <w:rsid w:val="00AF4F29"/>
    <w:rsid w:val="00B02584"/>
    <w:rsid w:val="00B123F5"/>
    <w:rsid w:val="00B1769E"/>
    <w:rsid w:val="00B25269"/>
    <w:rsid w:val="00B26F0E"/>
    <w:rsid w:val="00B302ED"/>
    <w:rsid w:val="00B3047F"/>
    <w:rsid w:val="00B30745"/>
    <w:rsid w:val="00B314B1"/>
    <w:rsid w:val="00B31CDC"/>
    <w:rsid w:val="00B31D80"/>
    <w:rsid w:val="00B3553F"/>
    <w:rsid w:val="00B42B7A"/>
    <w:rsid w:val="00B43BC3"/>
    <w:rsid w:val="00B53AB5"/>
    <w:rsid w:val="00B55216"/>
    <w:rsid w:val="00B627EE"/>
    <w:rsid w:val="00B62DE5"/>
    <w:rsid w:val="00B73116"/>
    <w:rsid w:val="00B759CC"/>
    <w:rsid w:val="00B76C19"/>
    <w:rsid w:val="00B76D34"/>
    <w:rsid w:val="00B77ADD"/>
    <w:rsid w:val="00B8442F"/>
    <w:rsid w:val="00B86875"/>
    <w:rsid w:val="00B86FEC"/>
    <w:rsid w:val="00B94D8D"/>
    <w:rsid w:val="00B95027"/>
    <w:rsid w:val="00B956B6"/>
    <w:rsid w:val="00BC0F69"/>
    <w:rsid w:val="00BC5773"/>
    <w:rsid w:val="00BD289B"/>
    <w:rsid w:val="00BE31B8"/>
    <w:rsid w:val="00BE7685"/>
    <w:rsid w:val="00BF1136"/>
    <w:rsid w:val="00BF3607"/>
    <w:rsid w:val="00BF3A2E"/>
    <w:rsid w:val="00BF460E"/>
    <w:rsid w:val="00BF5C2D"/>
    <w:rsid w:val="00BF5E67"/>
    <w:rsid w:val="00BF6277"/>
    <w:rsid w:val="00C01336"/>
    <w:rsid w:val="00C1254D"/>
    <w:rsid w:val="00C149B0"/>
    <w:rsid w:val="00C17DC2"/>
    <w:rsid w:val="00C23028"/>
    <w:rsid w:val="00C23232"/>
    <w:rsid w:val="00C26468"/>
    <w:rsid w:val="00C26609"/>
    <w:rsid w:val="00C309E3"/>
    <w:rsid w:val="00C313D5"/>
    <w:rsid w:val="00C35002"/>
    <w:rsid w:val="00C36C96"/>
    <w:rsid w:val="00C43274"/>
    <w:rsid w:val="00C46EC5"/>
    <w:rsid w:val="00C50F32"/>
    <w:rsid w:val="00C51C73"/>
    <w:rsid w:val="00C52364"/>
    <w:rsid w:val="00C54EE7"/>
    <w:rsid w:val="00C570AC"/>
    <w:rsid w:val="00C601F1"/>
    <w:rsid w:val="00C6063B"/>
    <w:rsid w:val="00C6312B"/>
    <w:rsid w:val="00C71669"/>
    <w:rsid w:val="00C71D7C"/>
    <w:rsid w:val="00C72123"/>
    <w:rsid w:val="00C74014"/>
    <w:rsid w:val="00C75556"/>
    <w:rsid w:val="00C76FD8"/>
    <w:rsid w:val="00C82FF4"/>
    <w:rsid w:val="00C931E5"/>
    <w:rsid w:val="00CA1C2E"/>
    <w:rsid w:val="00CA3029"/>
    <w:rsid w:val="00CA5BE3"/>
    <w:rsid w:val="00CA6291"/>
    <w:rsid w:val="00CB0133"/>
    <w:rsid w:val="00CB1D89"/>
    <w:rsid w:val="00CB1E64"/>
    <w:rsid w:val="00CB27D3"/>
    <w:rsid w:val="00CB6FF7"/>
    <w:rsid w:val="00CB7D21"/>
    <w:rsid w:val="00CC1792"/>
    <w:rsid w:val="00CC4353"/>
    <w:rsid w:val="00CC5F3B"/>
    <w:rsid w:val="00CC6F90"/>
    <w:rsid w:val="00CD47C9"/>
    <w:rsid w:val="00CD56E9"/>
    <w:rsid w:val="00CE5425"/>
    <w:rsid w:val="00CE712A"/>
    <w:rsid w:val="00CE75AD"/>
    <w:rsid w:val="00CF00D2"/>
    <w:rsid w:val="00CF19FF"/>
    <w:rsid w:val="00CF5EFD"/>
    <w:rsid w:val="00D0105E"/>
    <w:rsid w:val="00D1390F"/>
    <w:rsid w:val="00D30E15"/>
    <w:rsid w:val="00D32150"/>
    <w:rsid w:val="00D32575"/>
    <w:rsid w:val="00D423F0"/>
    <w:rsid w:val="00D45733"/>
    <w:rsid w:val="00D462F0"/>
    <w:rsid w:val="00D46D29"/>
    <w:rsid w:val="00D52AB1"/>
    <w:rsid w:val="00D541F4"/>
    <w:rsid w:val="00D61A94"/>
    <w:rsid w:val="00D61DC8"/>
    <w:rsid w:val="00D64A28"/>
    <w:rsid w:val="00D70A89"/>
    <w:rsid w:val="00D71133"/>
    <w:rsid w:val="00D7787D"/>
    <w:rsid w:val="00D83397"/>
    <w:rsid w:val="00D83496"/>
    <w:rsid w:val="00D86586"/>
    <w:rsid w:val="00D9033B"/>
    <w:rsid w:val="00D90DA1"/>
    <w:rsid w:val="00D94826"/>
    <w:rsid w:val="00D96386"/>
    <w:rsid w:val="00DA5087"/>
    <w:rsid w:val="00DA5E4E"/>
    <w:rsid w:val="00DB2A2F"/>
    <w:rsid w:val="00DB486B"/>
    <w:rsid w:val="00DC2E86"/>
    <w:rsid w:val="00DD3604"/>
    <w:rsid w:val="00DD379D"/>
    <w:rsid w:val="00DD7598"/>
    <w:rsid w:val="00DD7790"/>
    <w:rsid w:val="00DF18DF"/>
    <w:rsid w:val="00DF386A"/>
    <w:rsid w:val="00DF3ED0"/>
    <w:rsid w:val="00E032BC"/>
    <w:rsid w:val="00E036D2"/>
    <w:rsid w:val="00E0573D"/>
    <w:rsid w:val="00E10120"/>
    <w:rsid w:val="00E142A6"/>
    <w:rsid w:val="00E164CD"/>
    <w:rsid w:val="00E2129F"/>
    <w:rsid w:val="00E22D1C"/>
    <w:rsid w:val="00E24C32"/>
    <w:rsid w:val="00E24EC3"/>
    <w:rsid w:val="00E42BAE"/>
    <w:rsid w:val="00E42D3A"/>
    <w:rsid w:val="00E47411"/>
    <w:rsid w:val="00E504BF"/>
    <w:rsid w:val="00E525B4"/>
    <w:rsid w:val="00E62CD9"/>
    <w:rsid w:val="00E63D96"/>
    <w:rsid w:val="00E63DE0"/>
    <w:rsid w:val="00E65E3D"/>
    <w:rsid w:val="00E74A38"/>
    <w:rsid w:val="00E75B83"/>
    <w:rsid w:val="00E81F8D"/>
    <w:rsid w:val="00E86DED"/>
    <w:rsid w:val="00E93B87"/>
    <w:rsid w:val="00E944DD"/>
    <w:rsid w:val="00EA15B4"/>
    <w:rsid w:val="00EA38C8"/>
    <w:rsid w:val="00EB6EC6"/>
    <w:rsid w:val="00EC04B5"/>
    <w:rsid w:val="00EC2750"/>
    <w:rsid w:val="00EC66CA"/>
    <w:rsid w:val="00EC6AAE"/>
    <w:rsid w:val="00ED2F0D"/>
    <w:rsid w:val="00ED376C"/>
    <w:rsid w:val="00ED6E2E"/>
    <w:rsid w:val="00ED7E79"/>
    <w:rsid w:val="00EE1580"/>
    <w:rsid w:val="00EE1D1C"/>
    <w:rsid w:val="00EE2F0A"/>
    <w:rsid w:val="00EE3A1D"/>
    <w:rsid w:val="00EE3E91"/>
    <w:rsid w:val="00EE4834"/>
    <w:rsid w:val="00EE4DAE"/>
    <w:rsid w:val="00EE7C56"/>
    <w:rsid w:val="00F0460C"/>
    <w:rsid w:val="00F053FA"/>
    <w:rsid w:val="00F0629C"/>
    <w:rsid w:val="00F0729F"/>
    <w:rsid w:val="00F13389"/>
    <w:rsid w:val="00F2078D"/>
    <w:rsid w:val="00F21FF4"/>
    <w:rsid w:val="00F30FB9"/>
    <w:rsid w:val="00F3663A"/>
    <w:rsid w:val="00F36D0E"/>
    <w:rsid w:val="00F4014D"/>
    <w:rsid w:val="00F41558"/>
    <w:rsid w:val="00F41670"/>
    <w:rsid w:val="00F42E9D"/>
    <w:rsid w:val="00F43396"/>
    <w:rsid w:val="00F44600"/>
    <w:rsid w:val="00F46398"/>
    <w:rsid w:val="00F544A9"/>
    <w:rsid w:val="00F5468F"/>
    <w:rsid w:val="00F56052"/>
    <w:rsid w:val="00F56EF7"/>
    <w:rsid w:val="00F60EE9"/>
    <w:rsid w:val="00F62585"/>
    <w:rsid w:val="00F641F8"/>
    <w:rsid w:val="00F65221"/>
    <w:rsid w:val="00F67039"/>
    <w:rsid w:val="00F84A80"/>
    <w:rsid w:val="00F84AC8"/>
    <w:rsid w:val="00F8791C"/>
    <w:rsid w:val="00F91001"/>
    <w:rsid w:val="00F91055"/>
    <w:rsid w:val="00F93A22"/>
    <w:rsid w:val="00F9460A"/>
    <w:rsid w:val="00F95FB3"/>
    <w:rsid w:val="00F97C3E"/>
    <w:rsid w:val="00FA5B15"/>
    <w:rsid w:val="00FA6A37"/>
    <w:rsid w:val="00FA7355"/>
    <w:rsid w:val="00FB117A"/>
    <w:rsid w:val="00FB2361"/>
    <w:rsid w:val="00FB6F6A"/>
    <w:rsid w:val="00FC7910"/>
    <w:rsid w:val="00FD42A7"/>
    <w:rsid w:val="00FD54DD"/>
    <w:rsid w:val="00FD5E28"/>
    <w:rsid w:val="00FD738D"/>
    <w:rsid w:val="00FE05BB"/>
    <w:rsid w:val="00FE0617"/>
    <w:rsid w:val="00FE1AC0"/>
    <w:rsid w:val="00FE4238"/>
    <w:rsid w:val="00FE4541"/>
    <w:rsid w:val="00FF3088"/>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FBBF"/>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1B1173"/>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1B1173"/>
    <w:pPr>
      <w:widowControl w:val="0"/>
      <w:spacing w:after="240" w:line="240" w:lineRule="auto"/>
    </w:pPr>
    <w:rPr>
      <w:lang w:val="ru-RU"/>
    </w:rPr>
  </w:style>
  <w:style w:type="character" w:customStyle="1" w:styleId="apple-converted-space">
    <w:name w:val="apple-converted-space"/>
    <w:rsid w:val="0073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0509">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77408777">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03915093">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2513">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499123198">
      <w:bodyDiv w:val="1"/>
      <w:marLeft w:val="0"/>
      <w:marRight w:val="0"/>
      <w:marTop w:val="0"/>
      <w:marBottom w:val="0"/>
      <w:divBdr>
        <w:top w:val="none" w:sz="0" w:space="0" w:color="auto"/>
        <w:left w:val="none" w:sz="0" w:space="0" w:color="auto"/>
        <w:bottom w:val="none" w:sz="0" w:space="0" w:color="auto"/>
        <w:right w:val="none" w:sz="0" w:space="0" w:color="auto"/>
      </w:divBdr>
    </w:div>
    <w:div w:id="510267660">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45942354">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8093749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7963872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95721866">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A9CCE-165A-454B-ADD5-2BB56D85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10</Pages>
  <Words>17625</Words>
  <Characters>10047</Characters>
  <Application>Microsoft Office Word</Application>
  <DocSecurity>0</DocSecurity>
  <Lines>83</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45</cp:revision>
  <cp:lastPrinted>2025-05-22T08:38:00Z</cp:lastPrinted>
  <dcterms:created xsi:type="dcterms:W3CDTF">2025-05-21T10:55:00Z</dcterms:created>
  <dcterms:modified xsi:type="dcterms:W3CDTF">2025-06-25T12:25:00Z</dcterms:modified>
</cp:coreProperties>
</file>