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D0CE5" w:rsidRPr="00F764B7" w:rsidTr="00AD0CE5">
        <w:tc>
          <w:tcPr>
            <w:tcW w:w="4814" w:type="dxa"/>
          </w:tcPr>
          <w:p w:rsidR="00AD0CE5" w:rsidRPr="00F764B7" w:rsidRDefault="00AD0CE5" w:rsidP="005D0A8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764B7">
              <w:rPr>
                <w:rFonts w:ascii="Times New Roman" w:hAnsi="Times New Roman" w:cs="Times New Roman"/>
                <w:sz w:val="27"/>
                <w:szCs w:val="27"/>
              </w:rPr>
              <w:t xml:space="preserve">9 </w:t>
            </w:r>
            <w:r w:rsidR="005D0A84" w:rsidRPr="00F764B7">
              <w:rPr>
                <w:rFonts w:ascii="Times New Roman" w:hAnsi="Times New Roman" w:cs="Times New Roman"/>
                <w:sz w:val="27"/>
                <w:szCs w:val="27"/>
              </w:rPr>
              <w:t>листопада</w:t>
            </w:r>
            <w:r w:rsidRPr="00F764B7">
              <w:rPr>
                <w:rFonts w:ascii="Times New Roman" w:hAnsi="Times New Roman" w:cs="Times New Roman"/>
                <w:sz w:val="27"/>
                <w:szCs w:val="27"/>
              </w:rPr>
              <w:t xml:space="preserve"> 2023 року</w:t>
            </w:r>
          </w:p>
        </w:tc>
        <w:tc>
          <w:tcPr>
            <w:tcW w:w="4815" w:type="dxa"/>
          </w:tcPr>
          <w:p w:rsidR="00AD0CE5" w:rsidRPr="00F764B7" w:rsidRDefault="00AD0CE5" w:rsidP="005D0A84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764B7">
              <w:rPr>
                <w:rFonts w:ascii="Times New Roman" w:hAnsi="Times New Roman" w:cs="Times New Roman"/>
                <w:sz w:val="27"/>
                <w:szCs w:val="27"/>
              </w:rPr>
              <w:t>м. Київ</w:t>
            </w:r>
          </w:p>
          <w:p w:rsidR="00AD0CE5" w:rsidRPr="00F764B7" w:rsidRDefault="00AD0CE5" w:rsidP="005D0A84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0CE5" w:rsidRPr="00F764B7" w:rsidRDefault="00AD0CE5" w:rsidP="005D0A8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758B5" w:rsidRPr="00F764B7" w:rsidRDefault="00B758B5" w:rsidP="005D0A8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D0CE5" w:rsidRPr="00F764B7" w:rsidRDefault="00AD0CE5" w:rsidP="005D0A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764B7">
        <w:rPr>
          <w:rFonts w:ascii="Times New Roman" w:hAnsi="Times New Roman" w:cs="Times New Roman"/>
          <w:b/>
          <w:sz w:val="27"/>
          <w:szCs w:val="27"/>
        </w:rPr>
        <w:t xml:space="preserve">ОКРЕМА ДУМКА </w:t>
      </w:r>
    </w:p>
    <w:p w:rsidR="00AD0CE5" w:rsidRPr="00F764B7" w:rsidRDefault="00AD0CE5" w:rsidP="005D0A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764B7">
        <w:rPr>
          <w:rFonts w:ascii="Times New Roman" w:hAnsi="Times New Roman" w:cs="Times New Roman"/>
          <w:b/>
          <w:sz w:val="27"/>
          <w:szCs w:val="27"/>
        </w:rPr>
        <w:t>ЧЛЕНА ВИЩОЇ КВАЛІФІКАЦІЙНОЇ КОМІСІЇ СУДДІВ УКРАЇНИ</w:t>
      </w:r>
    </w:p>
    <w:p w:rsidR="00AD0CE5" w:rsidRPr="00F764B7" w:rsidRDefault="00AD0CE5" w:rsidP="005D0A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764B7">
        <w:rPr>
          <w:rFonts w:ascii="Times New Roman" w:hAnsi="Times New Roman" w:cs="Times New Roman"/>
          <w:b/>
          <w:sz w:val="27"/>
          <w:szCs w:val="27"/>
        </w:rPr>
        <w:t>М</w:t>
      </w:r>
      <w:r w:rsidR="00B57EB8" w:rsidRPr="00F764B7">
        <w:rPr>
          <w:rFonts w:ascii="Times New Roman" w:hAnsi="Times New Roman" w:cs="Times New Roman"/>
          <w:b/>
          <w:sz w:val="27"/>
          <w:szCs w:val="27"/>
        </w:rPr>
        <w:t>ЕЛЬНИКА РУСЛА</w:t>
      </w:r>
      <w:r w:rsidRPr="00F764B7">
        <w:rPr>
          <w:rFonts w:ascii="Times New Roman" w:hAnsi="Times New Roman" w:cs="Times New Roman"/>
          <w:b/>
          <w:sz w:val="27"/>
          <w:szCs w:val="27"/>
        </w:rPr>
        <w:t>Н</w:t>
      </w:r>
      <w:r w:rsidR="00B57EB8" w:rsidRPr="00F764B7">
        <w:rPr>
          <w:rFonts w:ascii="Times New Roman" w:hAnsi="Times New Roman" w:cs="Times New Roman"/>
          <w:b/>
          <w:sz w:val="27"/>
          <w:szCs w:val="27"/>
        </w:rPr>
        <w:t>А</w:t>
      </w:r>
      <w:r w:rsidRPr="00F764B7">
        <w:rPr>
          <w:rFonts w:ascii="Times New Roman" w:hAnsi="Times New Roman" w:cs="Times New Roman"/>
          <w:b/>
          <w:sz w:val="27"/>
          <w:szCs w:val="27"/>
        </w:rPr>
        <w:t xml:space="preserve"> ІВАНОВИЧА</w:t>
      </w:r>
    </w:p>
    <w:p w:rsidR="00AD0CE5" w:rsidRPr="00F764B7" w:rsidRDefault="00AD0CE5" w:rsidP="005D0A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A2EDF" w:rsidRPr="00F764B7" w:rsidRDefault="00861CEC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64B7">
        <w:rPr>
          <w:rFonts w:ascii="Times New Roman" w:hAnsi="Times New Roman" w:cs="Times New Roman"/>
          <w:b/>
          <w:sz w:val="27"/>
          <w:szCs w:val="27"/>
        </w:rPr>
        <w:t xml:space="preserve">щодо </w:t>
      </w:r>
      <w:r w:rsidR="00375B54" w:rsidRPr="00F764B7">
        <w:rPr>
          <w:rFonts w:ascii="Times New Roman" w:hAnsi="Times New Roman" w:cs="Times New Roman"/>
          <w:b/>
          <w:sz w:val="27"/>
          <w:szCs w:val="27"/>
        </w:rPr>
        <w:t xml:space="preserve">рішення </w:t>
      </w:r>
      <w:r w:rsidRPr="00F764B7">
        <w:rPr>
          <w:rFonts w:ascii="Times New Roman" w:hAnsi="Times New Roman" w:cs="Times New Roman"/>
          <w:b/>
          <w:sz w:val="27"/>
          <w:szCs w:val="27"/>
        </w:rPr>
        <w:t>Вищої кваліфікаційної комісії суддів України (далі – ВККС України, Комісія)</w:t>
      </w:r>
      <w:r w:rsidR="00375B54" w:rsidRPr="00F764B7">
        <w:rPr>
          <w:rFonts w:ascii="Times New Roman" w:hAnsi="Times New Roman" w:cs="Times New Roman"/>
          <w:b/>
          <w:sz w:val="27"/>
          <w:szCs w:val="27"/>
        </w:rPr>
        <w:t xml:space="preserve"> від </w:t>
      </w:r>
      <w:r w:rsidR="002A2EDF" w:rsidRPr="00F764B7">
        <w:rPr>
          <w:rFonts w:ascii="Times New Roman" w:hAnsi="Times New Roman" w:cs="Times New Roman"/>
          <w:b/>
          <w:sz w:val="27"/>
          <w:szCs w:val="27"/>
        </w:rPr>
        <w:t>2</w:t>
      </w:r>
      <w:r w:rsidR="00375B54" w:rsidRPr="00F764B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A2EDF" w:rsidRPr="00F764B7">
        <w:rPr>
          <w:rFonts w:ascii="Times New Roman" w:hAnsi="Times New Roman" w:cs="Times New Roman"/>
          <w:b/>
          <w:sz w:val="27"/>
          <w:szCs w:val="27"/>
        </w:rPr>
        <w:t>листопада</w:t>
      </w:r>
      <w:r w:rsidR="00375B54" w:rsidRPr="00F764B7">
        <w:rPr>
          <w:rFonts w:ascii="Times New Roman" w:hAnsi="Times New Roman" w:cs="Times New Roman"/>
          <w:b/>
          <w:sz w:val="27"/>
          <w:szCs w:val="27"/>
        </w:rPr>
        <w:t xml:space="preserve"> 2023 року № </w:t>
      </w:r>
      <w:r w:rsidR="00A70A0D" w:rsidRPr="001D4C6B">
        <w:rPr>
          <w:rFonts w:ascii="Times New Roman" w:hAnsi="Times New Roman" w:cs="Times New Roman"/>
          <w:b/>
          <w:sz w:val="27"/>
          <w:szCs w:val="27"/>
        </w:rPr>
        <w:t>120/</w:t>
      </w:r>
      <w:r w:rsidR="00A70A0D" w:rsidRPr="00F764B7">
        <w:rPr>
          <w:rFonts w:ascii="Times New Roman" w:hAnsi="Times New Roman" w:cs="Times New Roman"/>
          <w:b/>
          <w:sz w:val="27"/>
          <w:szCs w:val="27"/>
        </w:rPr>
        <w:t>зп-23</w:t>
      </w:r>
      <w:r w:rsidR="00375B54" w:rsidRPr="00F764B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764B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A2EDF" w:rsidRPr="00F764B7">
        <w:rPr>
          <w:rFonts w:ascii="Times New Roman" w:hAnsi="Times New Roman" w:cs="Times New Roman"/>
          <w:b/>
          <w:sz w:val="27"/>
          <w:szCs w:val="27"/>
        </w:rPr>
        <w:t xml:space="preserve">про внесення змін до форми </w:t>
      </w:r>
      <w:bookmarkStart w:id="0" w:name="_Hlk150271979"/>
      <w:r w:rsidR="002A2EDF" w:rsidRPr="00F764B7">
        <w:rPr>
          <w:rFonts w:ascii="Times New Roman" w:hAnsi="Times New Roman" w:cs="Times New Roman"/>
          <w:b/>
          <w:sz w:val="27"/>
          <w:szCs w:val="27"/>
        </w:rPr>
        <w:t>декларації доброчесності судді</w:t>
      </w:r>
      <w:bookmarkEnd w:id="0"/>
      <w:r w:rsidR="002A2EDF" w:rsidRPr="00F764B7">
        <w:rPr>
          <w:rFonts w:ascii="Times New Roman" w:hAnsi="Times New Roman" w:cs="Times New Roman"/>
          <w:b/>
          <w:sz w:val="27"/>
          <w:szCs w:val="27"/>
        </w:rPr>
        <w:t xml:space="preserve">, затвердженої рішенням Вищої кваліфікаційної комісії суддів України від 13 жовтня 2016 року № 137/зп-16 зі змінами, та форми декларації доброчесності кандидата на посаду судді, затвердженої рішенням Вищої кваліфікаційної комісії суддів України </w:t>
      </w:r>
      <w:r w:rsidR="00F764B7" w:rsidRPr="00F764B7">
        <w:rPr>
          <w:rFonts w:ascii="Times New Roman" w:hAnsi="Times New Roman" w:cs="Times New Roman"/>
          <w:b/>
          <w:sz w:val="27"/>
          <w:szCs w:val="27"/>
        </w:rPr>
        <w:br/>
      </w:r>
      <w:r w:rsidR="002A2EDF" w:rsidRPr="00F764B7">
        <w:rPr>
          <w:rFonts w:ascii="Times New Roman" w:hAnsi="Times New Roman" w:cs="Times New Roman"/>
          <w:b/>
          <w:sz w:val="27"/>
          <w:szCs w:val="27"/>
        </w:rPr>
        <w:t>від 24 вересня 2018 року № 205/зп-18</w:t>
      </w:r>
    </w:p>
    <w:p w:rsidR="005D0A84" w:rsidRPr="00F764B7" w:rsidRDefault="005D0A84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57EB8" w:rsidRPr="009B3305" w:rsidRDefault="002A2EDF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B57EB8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листопада</w:t>
      </w:r>
      <w:r w:rsidR="00B57EB8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2023 року </w:t>
      </w:r>
      <w:r w:rsidR="00861CEC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Комісією </w:t>
      </w:r>
      <w:r w:rsidR="00B57EB8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прийнято рішення</w:t>
      </w:r>
      <w:r w:rsidR="00861CEC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яким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зокрема внесені зміни до форми декларації доброчесності судді</w:t>
      </w:r>
      <w:r w:rsidR="00B57EB8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861CEC" w:rsidRPr="009B3305" w:rsidRDefault="00861CEC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Відповідно до пункту 4 частини першої статті 99 Закону України від </w:t>
      </w:r>
      <w:r w:rsidR="0083743E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02 червня 2016 року № 1402-VIII «Про судоустрій і статус суддів» (далі – Закон 1402-VIII) член Вищої кваліфікаційної комісії суддів України має право висловлювати</w:t>
      </w:r>
      <w:r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письмово</w:t>
      </w:r>
      <w:r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окрему думку щодо рішення Вищої кваліфікаційної комісії суддів України.</w:t>
      </w:r>
    </w:p>
    <w:p w:rsidR="00861CEC" w:rsidRPr="009B3305" w:rsidRDefault="00861CEC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Користуючись правом, наданим мені як члену Комісії, згідно із вказаною правовою нормою, висловлюю окрему думку стосовно </w:t>
      </w:r>
      <w:r w:rsidR="001E5572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загальних підходів щодо </w:t>
      </w:r>
      <w:r w:rsidR="008E6E0A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визначення</w:t>
      </w:r>
      <w:r w:rsidR="002B11E1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тверджень, які </w:t>
      </w:r>
      <w:r w:rsidR="008E6E0A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містяться у </w:t>
      </w:r>
      <w:r w:rsidR="002B11E1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декларації доброчесності судді. </w:t>
      </w:r>
    </w:p>
    <w:p w:rsidR="009640B7" w:rsidRPr="009B3305" w:rsidRDefault="00691AFD" w:rsidP="005D0A84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 w:themeColor="text1"/>
          <w:sz w:val="27"/>
          <w:szCs w:val="27"/>
        </w:rPr>
      </w:pPr>
      <w:r w:rsidRPr="009B3305">
        <w:rPr>
          <w:b w:val="0"/>
          <w:bCs w:val="0"/>
          <w:color w:val="000000" w:themeColor="text1"/>
          <w:sz w:val="27"/>
          <w:szCs w:val="27"/>
        </w:rPr>
        <w:t xml:space="preserve">Законом України від </w:t>
      </w:r>
      <w:r w:rsidRPr="009B3305">
        <w:rPr>
          <w:rStyle w:val="rvts9"/>
          <w:b w:val="0"/>
          <w:bCs w:val="0"/>
          <w:color w:val="000000" w:themeColor="text1"/>
          <w:sz w:val="27"/>
          <w:szCs w:val="27"/>
          <w:shd w:val="clear" w:color="auto" w:fill="FFFFFF"/>
        </w:rPr>
        <w:t>2 червня 2016 року№ 1401-VIII «</w:t>
      </w:r>
      <w:r w:rsidRPr="009B3305">
        <w:rPr>
          <w:b w:val="0"/>
          <w:bCs w:val="0"/>
          <w:color w:val="000000" w:themeColor="text1"/>
          <w:sz w:val="27"/>
          <w:szCs w:val="27"/>
        </w:rPr>
        <w:t>Про внесення змін до Конституції</w:t>
      </w:r>
      <w:r w:rsidRPr="001D4C6B">
        <w:rPr>
          <w:b w:val="0"/>
          <w:bCs w:val="0"/>
          <w:color w:val="000000" w:themeColor="text1"/>
          <w:sz w:val="10"/>
          <w:szCs w:val="10"/>
        </w:rPr>
        <w:t xml:space="preserve"> </w:t>
      </w:r>
      <w:r w:rsidRPr="009B3305">
        <w:rPr>
          <w:b w:val="0"/>
          <w:bCs w:val="0"/>
          <w:color w:val="000000" w:themeColor="text1"/>
          <w:sz w:val="27"/>
          <w:szCs w:val="27"/>
        </w:rPr>
        <w:t>України</w:t>
      </w:r>
      <w:r w:rsidRPr="001D4C6B">
        <w:rPr>
          <w:b w:val="0"/>
          <w:bCs w:val="0"/>
          <w:color w:val="000000" w:themeColor="text1"/>
          <w:sz w:val="10"/>
          <w:szCs w:val="10"/>
        </w:rPr>
        <w:t xml:space="preserve"> </w:t>
      </w:r>
      <w:r w:rsidRPr="009B3305">
        <w:rPr>
          <w:b w:val="0"/>
          <w:bCs w:val="0"/>
          <w:color w:val="000000" w:themeColor="text1"/>
          <w:sz w:val="27"/>
          <w:szCs w:val="27"/>
        </w:rPr>
        <w:t xml:space="preserve">(щодо правосуддя)» </w:t>
      </w:r>
      <w:r w:rsidR="009640B7" w:rsidRPr="009B3305">
        <w:rPr>
          <w:b w:val="0"/>
          <w:bCs w:val="0"/>
          <w:color w:val="000000" w:themeColor="text1"/>
          <w:sz w:val="27"/>
          <w:szCs w:val="27"/>
        </w:rPr>
        <w:t xml:space="preserve">вперше на рівні Основного закону </w:t>
      </w:r>
      <w:r w:rsidRPr="009B3305">
        <w:rPr>
          <w:b w:val="0"/>
          <w:bCs w:val="0"/>
          <w:color w:val="000000" w:themeColor="text1"/>
          <w:sz w:val="27"/>
          <w:szCs w:val="27"/>
        </w:rPr>
        <w:t xml:space="preserve">однією з </w:t>
      </w:r>
      <w:r w:rsidR="00C43AE1" w:rsidRPr="009B3305">
        <w:rPr>
          <w:b w:val="0"/>
          <w:bCs w:val="0"/>
          <w:color w:val="000000" w:themeColor="text1"/>
          <w:sz w:val="27"/>
          <w:szCs w:val="27"/>
        </w:rPr>
        <w:t xml:space="preserve">кваліфікаційних </w:t>
      </w:r>
      <w:r w:rsidRPr="009B3305">
        <w:rPr>
          <w:b w:val="0"/>
          <w:bCs w:val="0"/>
          <w:color w:val="000000" w:themeColor="text1"/>
          <w:sz w:val="27"/>
          <w:szCs w:val="27"/>
        </w:rPr>
        <w:t xml:space="preserve">вимог </w:t>
      </w:r>
      <w:r w:rsidR="00C43AE1" w:rsidRPr="009B3305">
        <w:rPr>
          <w:b w:val="0"/>
          <w:bCs w:val="0"/>
          <w:color w:val="000000" w:themeColor="text1"/>
          <w:sz w:val="27"/>
          <w:szCs w:val="27"/>
        </w:rPr>
        <w:t xml:space="preserve">до кандидата на посаду судді, а також </w:t>
      </w:r>
      <w:r w:rsidR="004721FD" w:rsidRPr="009B3305">
        <w:rPr>
          <w:b w:val="0"/>
          <w:bCs w:val="0"/>
          <w:color w:val="000000" w:themeColor="text1"/>
          <w:sz w:val="27"/>
          <w:szCs w:val="27"/>
        </w:rPr>
        <w:t xml:space="preserve">критерієм відповідності суді займаній посаді було визначено доброчесність. </w:t>
      </w:r>
    </w:p>
    <w:p w:rsidR="004F49DE" w:rsidRPr="009B3305" w:rsidRDefault="009640B7" w:rsidP="005D0A84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 w:themeColor="text1"/>
          <w:sz w:val="27"/>
          <w:szCs w:val="27"/>
        </w:rPr>
      </w:pPr>
      <w:r w:rsidRPr="009B3305">
        <w:rPr>
          <w:b w:val="0"/>
          <w:bCs w:val="0"/>
          <w:color w:val="000000" w:themeColor="text1"/>
          <w:sz w:val="27"/>
          <w:szCs w:val="27"/>
        </w:rPr>
        <w:t>Водночас первісно юридизація доброчесності, тобто трансформація морально-етичного та філософського поняття у правову категорію, відбулася у академічній сфері</w:t>
      </w:r>
      <w:r w:rsidR="007D7A47" w:rsidRPr="009B3305">
        <w:rPr>
          <w:b w:val="0"/>
          <w:bCs w:val="0"/>
          <w:color w:val="000000" w:themeColor="text1"/>
          <w:sz w:val="27"/>
          <w:szCs w:val="27"/>
        </w:rPr>
        <w:t xml:space="preserve"> (академічна доброчесність)</w:t>
      </w:r>
      <w:r w:rsidRPr="009B3305">
        <w:rPr>
          <w:b w:val="0"/>
          <w:bCs w:val="0"/>
          <w:color w:val="000000" w:themeColor="text1"/>
          <w:sz w:val="27"/>
          <w:szCs w:val="27"/>
        </w:rPr>
        <w:t>, а згодом у сфері запобігання та протидії корупції</w:t>
      </w:r>
      <w:r w:rsidR="007D7A47" w:rsidRPr="009B3305">
        <w:rPr>
          <w:b w:val="0"/>
          <w:bCs w:val="0"/>
          <w:color w:val="000000" w:themeColor="text1"/>
          <w:sz w:val="27"/>
          <w:szCs w:val="27"/>
        </w:rPr>
        <w:t xml:space="preserve">, де в контексті перевірок на доброчесність вона набула також інструментального характеру та є </w:t>
      </w:r>
      <w:r w:rsidR="00BA03D4" w:rsidRPr="009B3305">
        <w:rPr>
          <w:b w:val="0"/>
          <w:bCs w:val="0"/>
          <w:color w:val="000000" w:themeColor="text1"/>
          <w:sz w:val="27"/>
          <w:szCs w:val="27"/>
        </w:rPr>
        <w:t>невід’ємним елементом механізму превенції.</w:t>
      </w:r>
    </w:p>
    <w:p w:rsidR="00266E0E" w:rsidRPr="009B3305" w:rsidRDefault="003674A7" w:rsidP="005D0A84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 w:themeColor="text1"/>
          <w:sz w:val="27"/>
          <w:szCs w:val="27"/>
        </w:rPr>
      </w:pPr>
      <w:r w:rsidRPr="009B3305">
        <w:rPr>
          <w:b w:val="0"/>
          <w:bCs w:val="0"/>
          <w:color w:val="000000" w:themeColor="text1"/>
          <w:sz w:val="27"/>
          <w:szCs w:val="27"/>
        </w:rPr>
        <w:t xml:space="preserve">Саме тому доброчесність як правова категорія сприймається переважно через призму антикорупційного законодавства, де її </w:t>
      </w:r>
      <w:r w:rsidR="004F49DE" w:rsidRPr="009B3305">
        <w:rPr>
          <w:b w:val="0"/>
          <w:bCs w:val="0"/>
          <w:color w:val="000000" w:themeColor="text1"/>
          <w:sz w:val="27"/>
          <w:szCs w:val="27"/>
        </w:rPr>
        <w:t xml:space="preserve">обов’язковими </w:t>
      </w:r>
      <w:r w:rsidRPr="009B3305">
        <w:rPr>
          <w:b w:val="0"/>
          <w:bCs w:val="0"/>
          <w:color w:val="000000" w:themeColor="text1"/>
          <w:sz w:val="27"/>
          <w:szCs w:val="27"/>
        </w:rPr>
        <w:t xml:space="preserve">складовими є: </w:t>
      </w:r>
      <w:r w:rsidR="004F49DE" w:rsidRPr="009B3305">
        <w:rPr>
          <w:b w:val="0"/>
          <w:bCs w:val="0"/>
          <w:color w:val="000000" w:themeColor="text1"/>
          <w:sz w:val="27"/>
          <w:szCs w:val="27"/>
        </w:rPr>
        <w:t xml:space="preserve">дотримання антикорупційних обмежень і заборон; запобігання та врегулювання конфлікту інтересів; дотримання принципів професійної етики, а також вимог фінансового контролю. </w:t>
      </w:r>
    </w:p>
    <w:p w:rsidR="00FB76D3" w:rsidRPr="009B3305" w:rsidRDefault="00216DB4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Як зазначено у п</w:t>
      </w:r>
      <w:r w:rsidR="00A70A0D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ункті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23 Висновку № 21 (2018) Консультативної ради європейських суддів: «</w:t>
      </w:r>
      <w:r w:rsidR="00FB76D3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Чи не найважливішою гарантією запобігання корупції серед суддів є розвиток і зміцнення дієвої культури доброчесності в судовій системі. Хоча,</w:t>
      </w:r>
      <w:r w:rsidR="00FB76D3"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FB76D3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скоріш</w:t>
      </w:r>
      <w:r w:rsidR="00FB76D3"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FB76D3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за</w:t>
      </w:r>
      <w:r w:rsidR="00FB76D3"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FB76D3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все,</w:t>
      </w:r>
      <w:r w:rsidR="00A70A0D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немає єдиного визначення терміну</w:t>
      </w:r>
      <w:r w:rsidR="00FB76D3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«суддівська доброчесність», утім існує загальне розуміння його складових.</w:t>
      </w:r>
    </w:p>
    <w:p w:rsidR="00FB76D3" w:rsidRPr="009B3305" w:rsidRDefault="00FB76D3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Засадничі</w:t>
      </w:r>
      <w:r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принципи доброчесності, як правило, формулюються в конкретних процедурах, які стосуються розвитку кар’єри судді: відбір, призначення,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просування по службі й підвищення, навчання, оцінки роботи й дисциплінарна відповідальність</w:t>
      </w:r>
      <w:r w:rsidR="00890B63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70A0D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(пункт </w:t>
      </w:r>
      <w:r w:rsidR="00216DB4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25)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94463" w:rsidRPr="009B3305" w:rsidRDefault="00F94463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Слід зазначити, що чинне законодавство не містить єдиного уніфікованого нормативного визначення поняття «доброчесності», що має </w:t>
      </w:r>
      <w:r w:rsidR="00A75085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як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свої вади</w:t>
      </w:r>
      <w:r w:rsidR="00A75085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так і переваги. З одного боку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правова невизначеність створює передумови для зловживань, </w:t>
      </w:r>
      <w:r w:rsidR="00A75085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 з іншого –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дозволяє розширювати або звужувати його зміст залежно від</w:t>
      </w:r>
      <w:r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сфери</w:t>
      </w:r>
      <w:r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чи</w:t>
      </w:r>
      <w:r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галузі</w:t>
      </w:r>
      <w:r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застосування. Натомість, у разі застосування процедур перевірки доброчесності, </w:t>
      </w:r>
      <w:r w:rsidR="00F266F8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вони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мають бути належно врегульовані, враховуючи, що їх наслідком може бути притягнення особи до юридичної відповідальності</w:t>
      </w:r>
      <w:r w:rsidR="00356CF4" w:rsidRPr="009B3305">
        <w:rPr>
          <w:rStyle w:val="a9"/>
          <w:rFonts w:ascii="Times New Roman" w:hAnsi="Times New Roman" w:cs="Times New Roman"/>
          <w:color w:val="000000" w:themeColor="text1"/>
          <w:sz w:val="27"/>
          <w:szCs w:val="27"/>
        </w:rPr>
        <w:footnoteReference w:id="1"/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="00C02879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цьому юридична визначеність таких процедур передусім потребує єдиних підходів щодо </w:t>
      </w:r>
      <w:r w:rsidR="00F764B7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визначення</w:t>
      </w:r>
      <w:r w:rsidR="00C02879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3752C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обов’язкових </w:t>
      </w:r>
      <w:r w:rsidR="00C02879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складових </w:t>
      </w:r>
      <w:r w:rsidR="00A3752C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доброчесності, які мають залишатися незмінними навіть у разі процедурних особливостей відповідної перевірки.</w:t>
      </w:r>
      <w:r w:rsidR="00C02879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932419" w:rsidRPr="009B3305" w:rsidRDefault="00356CF4" w:rsidP="005D0A84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9B3305">
        <w:rPr>
          <w:color w:val="000000" w:themeColor="text1"/>
          <w:sz w:val="27"/>
          <w:szCs w:val="27"/>
        </w:rPr>
        <w:t xml:space="preserve">До числа таких процедур </w:t>
      </w:r>
      <w:r w:rsidR="00C02879" w:rsidRPr="009B3305">
        <w:rPr>
          <w:color w:val="000000" w:themeColor="text1"/>
          <w:sz w:val="27"/>
          <w:szCs w:val="27"/>
        </w:rPr>
        <w:t>безумовно відноситься</w:t>
      </w:r>
      <w:r w:rsidRPr="009B3305">
        <w:rPr>
          <w:color w:val="000000" w:themeColor="text1"/>
          <w:sz w:val="27"/>
          <w:szCs w:val="27"/>
        </w:rPr>
        <w:t xml:space="preserve"> кваліфікаційн</w:t>
      </w:r>
      <w:r w:rsidR="005D0A84" w:rsidRPr="009B3305">
        <w:rPr>
          <w:color w:val="000000" w:themeColor="text1"/>
          <w:sz w:val="27"/>
          <w:szCs w:val="27"/>
        </w:rPr>
        <w:t>е</w:t>
      </w:r>
      <w:r w:rsidRPr="009B3305">
        <w:rPr>
          <w:color w:val="000000" w:themeColor="text1"/>
          <w:sz w:val="27"/>
          <w:szCs w:val="27"/>
        </w:rPr>
        <w:t xml:space="preserve"> оцінювання судді, як</w:t>
      </w:r>
      <w:r w:rsidR="005D0A84" w:rsidRPr="009B3305">
        <w:rPr>
          <w:color w:val="000000" w:themeColor="text1"/>
          <w:sz w:val="27"/>
          <w:szCs w:val="27"/>
        </w:rPr>
        <w:t>е</w:t>
      </w:r>
      <w:r w:rsidRPr="009B3305">
        <w:rPr>
          <w:color w:val="000000" w:themeColor="text1"/>
          <w:sz w:val="27"/>
          <w:szCs w:val="27"/>
        </w:rPr>
        <w:t xml:space="preserve"> </w:t>
      </w:r>
      <w:r w:rsidR="00A75085" w:rsidRPr="009B3305">
        <w:rPr>
          <w:color w:val="000000" w:themeColor="text1"/>
          <w:sz w:val="27"/>
          <w:szCs w:val="27"/>
        </w:rPr>
        <w:t>детально</w:t>
      </w:r>
      <w:r w:rsidR="00C02879" w:rsidRPr="009B3305">
        <w:rPr>
          <w:color w:val="000000" w:themeColor="text1"/>
          <w:sz w:val="27"/>
          <w:szCs w:val="27"/>
        </w:rPr>
        <w:t xml:space="preserve"> врегульован</w:t>
      </w:r>
      <w:r w:rsidR="005D0A84" w:rsidRPr="009B3305">
        <w:rPr>
          <w:color w:val="000000" w:themeColor="text1"/>
          <w:sz w:val="27"/>
          <w:szCs w:val="27"/>
        </w:rPr>
        <w:t>о</w:t>
      </w:r>
      <w:r w:rsidR="00C02879" w:rsidRPr="009B3305">
        <w:rPr>
          <w:color w:val="000000" w:themeColor="text1"/>
          <w:sz w:val="27"/>
          <w:szCs w:val="27"/>
        </w:rPr>
        <w:t xml:space="preserve"> у </w:t>
      </w:r>
      <w:r w:rsidR="00932419" w:rsidRPr="009B3305">
        <w:rPr>
          <w:color w:val="000000" w:themeColor="text1"/>
          <w:sz w:val="27"/>
          <w:szCs w:val="27"/>
        </w:rPr>
        <w:t>Положенн</w:t>
      </w:r>
      <w:r w:rsidR="00C02879" w:rsidRPr="009B3305">
        <w:rPr>
          <w:color w:val="000000" w:themeColor="text1"/>
          <w:sz w:val="27"/>
          <w:szCs w:val="27"/>
        </w:rPr>
        <w:t>і</w:t>
      </w:r>
      <w:r w:rsidR="00932419" w:rsidRPr="009B3305">
        <w:rPr>
          <w:color w:val="000000" w:themeColor="text1"/>
          <w:sz w:val="27"/>
          <w:szCs w:val="27"/>
        </w:rPr>
        <w:t xml:space="preserve">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Pr="009B3305">
        <w:rPr>
          <w:color w:val="000000" w:themeColor="text1"/>
          <w:sz w:val="27"/>
          <w:szCs w:val="27"/>
        </w:rPr>
        <w:t xml:space="preserve"> (затверджено рішенням Вищої кваліфікаційної комісії суддів України 03</w:t>
      </w:r>
      <w:r w:rsidR="00F764B7" w:rsidRPr="009B3305">
        <w:rPr>
          <w:color w:val="000000" w:themeColor="text1"/>
          <w:sz w:val="27"/>
          <w:szCs w:val="27"/>
        </w:rPr>
        <w:t xml:space="preserve"> листопада </w:t>
      </w:r>
      <w:r w:rsidRPr="009B3305">
        <w:rPr>
          <w:color w:val="000000" w:themeColor="text1"/>
          <w:sz w:val="27"/>
          <w:szCs w:val="27"/>
        </w:rPr>
        <w:t>2016</w:t>
      </w:r>
      <w:r w:rsidR="00F764B7" w:rsidRPr="009B3305">
        <w:rPr>
          <w:color w:val="000000" w:themeColor="text1"/>
          <w:sz w:val="27"/>
          <w:szCs w:val="27"/>
        </w:rPr>
        <w:t xml:space="preserve"> року</w:t>
      </w:r>
      <w:r w:rsidRPr="009B3305">
        <w:rPr>
          <w:color w:val="000000" w:themeColor="text1"/>
          <w:sz w:val="27"/>
          <w:szCs w:val="27"/>
        </w:rPr>
        <w:t xml:space="preserve"> № 143/зп-16 (у редакції</w:t>
      </w:r>
      <w:r w:rsidRPr="001D4C6B">
        <w:rPr>
          <w:color w:val="000000" w:themeColor="text1"/>
          <w:sz w:val="10"/>
          <w:szCs w:val="10"/>
        </w:rPr>
        <w:t xml:space="preserve"> </w:t>
      </w:r>
      <w:r w:rsidRPr="009B3305">
        <w:rPr>
          <w:color w:val="000000" w:themeColor="text1"/>
          <w:sz w:val="27"/>
          <w:szCs w:val="27"/>
        </w:rPr>
        <w:t>рішення</w:t>
      </w:r>
      <w:r w:rsidRPr="001D4C6B">
        <w:rPr>
          <w:color w:val="000000" w:themeColor="text1"/>
          <w:sz w:val="10"/>
          <w:szCs w:val="10"/>
        </w:rPr>
        <w:t xml:space="preserve"> </w:t>
      </w:r>
      <w:r w:rsidRPr="009B3305">
        <w:rPr>
          <w:color w:val="000000" w:themeColor="text1"/>
          <w:sz w:val="27"/>
          <w:szCs w:val="27"/>
        </w:rPr>
        <w:t>Вищої</w:t>
      </w:r>
      <w:r w:rsidRPr="001D4C6B">
        <w:rPr>
          <w:color w:val="000000" w:themeColor="text1"/>
          <w:sz w:val="10"/>
          <w:szCs w:val="10"/>
        </w:rPr>
        <w:t xml:space="preserve"> </w:t>
      </w:r>
      <w:r w:rsidRPr="009B3305">
        <w:rPr>
          <w:color w:val="000000" w:themeColor="text1"/>
          <w:sz w:val="27"/>
          <w:szCs w:val="27"/>
        </w:rPr>
        <w:t>кваліфікаційної комісії суддів України 13</w:t>
      </w:r>
      <w:r w:rsidR="00F764B7" w:rsidRPr="009B3305">
        <w:rPr>
          <w:color w:val="000000" w:themeColor="text1"/>
          <w:sz w:val="27"/>
          <w:szCs w:val="27"/>
        </w:rPr>
        <w:t xml:space="preserve"> лютого </w:t>
      </w:r>
      <w:r w:rsidRPr="009B3305">
        <w:rPr>
          <w:color w:val="000000" w:themeColor="text1"/>
          <w:sz w:val="27"/>
          <w:szCs w:val="27"/>
        </w:rPr>
        <w:t xml:space="preserve">2018 </w:t>
      </w:r>
      <w:r w:rsidR="00F764B7" w:rsidRPr="009B3305">
        <w:rPr>
          <w:color w:val="000000" w:themeColor="text1"/>
          <w:sz w:val="27"/>
          <w:szCs w:val="27"/>
        </w:rPr>
        <w:t xml:space="preserve">року </w:t>
      </w:r>
      <w:r w:rsidRPr="009B3305">
        <w:rPr>
          <w:color w:val="000000" w:themeColor="text1"/>
          <w:sz w:val="27"/>
          <w:szCs w:val="27"/>
        </w:rPr>
        <w:t>№ 20/зп-18)</w:t>
      </w:r>
      <w:r w:rsidR="00C02879" w:rsidRPr="009B3305">
        <w:rPr>
          <w:color w:val="000000" w:themeColor="text1"/>
          <w:sz w:val="27"/>
          <w:szCs w:val="27"/>
        </w:rPr>
        <w:t>.</w:t>
      </w:r>
    </w:p>
    <w:p w:rsidR="00A3752C" w:rsidRPr="009B3305" w:rsidRDefault="00A3752C" w:rsidP="005D0A84">
      <w:pPr>
        <w:pStyle w:val="aa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</w:rPr>
      </w:pPr>
      <w:r w:rsidRPr="009B3305">
        <w:rPr>
          <w:color w:val="000000" w:themeColor="text1"/>
          <w:sz w:val="27"/>
          <w:szCs w:val="27"/>
        </w:rPr>
        <w:t>Так, в</w:t>
      </w:r>
      <w:r w:rsidR="00932419" w:rsidRPr="009B3305">
        <w:rPr>
          <w:color w:val="000000" w:themeColor="text1"/>
          <w:sz w:val="27"/>
          <w:szCs w:val="27"/>
        </w:rPr>
        <w:t xml:space="preserve">ідповідність судді критерію доброчесності </w:t>
      </w:r>
      <w:r w:rsidR="005D0A84" w:rsidRPr="009B3305">
        <w:rPr>
          <w:color w:val="000000" w:themeColor="text1"/>
          <w:sz w:val="27"/>
          <w:szCs w:val="27"/>
        </w:rPr>
        <w:t xml:space="preserve">у Положенні </w:t>
      </w:r>
      <w:r w:rsidR="00932419" w:rsidRPr="009B3305">
        <w:rPr>
          <w:color w:val="000000" w:themeColor="text1"/>
          <w:sz w:val="27"/>
          <w:szCs w:val="27"/>
        </w:rPr>
        <w:t>оцінюється (встановлюється) за такими показниками:</w:t>
      </w:r>
      <w:r w:rsidRPr="009B3305">
        <w:rPr>
          <w:color w:val="000000" w:themeColor="text1"/>
          <w:sz w:val="27"/>
          <w:szCs w:val="27"/>
        </w:rPr>
        <w:t xml:space="preserve"> в</w:t>
      </w:r>
      <w:r w:rsidR="00932419" w:rsidRPr="009B3305">
        <w:rPr>
          <w:color w:val="000000" w:themeColor="text1"/>
          <w:sz w:val="27"/>
          <w:szCs w:val="27"/>
        </w:rPr>
        <w:t>ідповідність витрат і майна судді та членів його сім’ї задекларованим доходам</w:t>
      </w:r>
      <w:r w:rsidRPr="009B3305">
        <w:rPr>
          <w:color w:val="000000" w:themeColor="text1"/>
          <w:sz w:val="27"/>
          <w:szCs w:val="27"/>
        </w:rPr>
        <w:t>; в</w:t>
      </w:r>
      <w:r w:rsidR="00932419" w:rsidRPr="009B3305">
        <w:rPr>
          <w:color w:val="000000" w:themeColor="text1"/>
          <w:sz w:val="27"/>
          <w:szCs w:val="27"/>
        </w:rPr>
        <w:t>ідповідність способу (рівня) життя судді та членів його сім’ї задекларованим доходам</w:t>
      </w:r>
      <w:r w:rsidRPr="009B3305">
        <w:rPr>
          <w:color w:val="000000" w:themeColor="text1"/>
          <w:sz w:val="27"/>
          <w:szCs w:val="27"/>
        </w:rPr>
        <w:t>; в</w:t>
      </w:r>
      <w:r w:rsidR="00932419" w:rsidRPr="009B3305">
        <w:rPr>
          <w:color w:val="000000" w:themeColor="text1"/>
          <w:sz w:val="27"/>
          <w:szCs w:val="27"/>
        </w:rPr>
        <w:t>ідповідність поведінки судді іншим вимогам законодавства у сфері запобігання корупції</w:t>
      </w:r>
      <w:r w:rsidRPr="009B3305">
        <w:rPr>
          <w:color w:val="000000" w:themeColor="text1"/>
          <w:sz w:val="27"/>
          <w:szCs w:val="27"/>
        </w:rPr>
        <w:t>; н</w:t>
      </w:r>
      <w:r w:rsidR="00932419" w:rsidRPr="009B3305">
        <w:rPr>
          <w:color w:val="000000" w:themeColor="text1"/>
          <w:sz w:val="27"/>
          <w:szCs w:val="27"/>
        </w:rPr>
        <w:t>аявність обставин, передбачених підпунктами 1, 2, 9−12, 15−19 частини першої статті 106 Закону</w:t>
      </w:r>
      <w:r w:rsidRPr="009B3305">
        <w:rPr>
          <w:color w:val="000000" w:themeColor="text1"/>
          <w:sz w:val="27"/>
          <w:szCs w:val="27"/>
        </w:rPr>
        <w:t>; наявність</w:t>
      </w:r>
      <w:r w:rsidRPr="001D4C6B">
        <w:rPr>
          <w:color w:val="000000" w:themeColor="text1"/>
          <w:sz w:val="10"/>
          <w:szCs w:val="10"/>
        </w:rPr>
        <w:t xml:space="preserve"> </w:t>
      </w:r>
      <w:r w:rsidRPr="009B3305">
        <w:rPr>
          <w:color w:val="000000" w:themeColor="text1"/>
          <w:sz w:val="27"/>
          <w:szCs w:val="27"/>
        </w:rPr>
        <w:t xml:space="preserve">фактів притягнення судді до відповідальності за вчинення проступків або правопорушень, які свідчать про </w:t>
      </w:r>
      <w:proofErr w:type="spellStart"/>
      <w:r w:rsidRPr="009B3305">
        <w:rPr>
          <w:color w:val="000000" w:themeColor="text1"/>
          <w:sz w:val="27"/>
          <w:szCs w:val="27"/>
        </w:rPr>
        <w:t>недоброчесність</w:t>
      </w:r>
      <w:proofErr w:type="spellEnd"/>
      <w:r w:rsidRPr="009B3305">
        <w:rPr>
          <w:color w:val="000000" w:themeColor="text1"/>
          <w:sz w:val="27"/>
          <w:szCs w:val="27"/>
        </w:rPr>
        <w:t xml:space="preserve"> судді; наявність незабезпечених зобов’язань майнового характеру, які можуть мати істотний вплив на здійснення правосуддя</w:t>
      </w:r>
      <w:r w:rsidRPr="001D4C6B">
        <w:rPr>
          <w:color w:val="000000" w:themeColor="text1"/>
          <w:sz w:val="10"/>
          <w:szCs w:val="10"/>
        </w:rPr>
        <w:t xml:space="preserve"> </w:t>
      </w:r>
      <w:r w:rsidRPr="009B3305">
        <w:rPr>
          <w:color w:val="000000" w:themeColor="text1"/>
          <w:sz w:val="27"/>
          <w:szCs w:val="27"/>
        </w:rPr>
        <w:t>суддею;</w:t>
      </w:r>
      <w:r w:rsidRPr="001D4C6B">
        <w:rPr>
          <w:color w:val="000000" w:themeColor="text1"/>
          <w:sz w:val="10"/>
          <w:szCs w:val="10"/>
        </w:rPr>
        <w:t xml:space="preserve"> </w:t>
      </w:r>
      <w:r w:rsidRPr="009B3305">
        <w:rPr>
          <w:color w:val="000000" w:themeColor="text1"/>
          <w:sz w:val="27"/>
          <w:szCs w:val="27"/>
        </w:rPr>
        <w:t>інші</w:t>
      </w:r>
      <w:r w:rsidRPr="001D4C6B">
        <w:rPr>
          <w:color w:val="000000" w:themeColor="text1"/>
          <w:sz w:val="10"/>
          <w:szCs w:val="10"/>
        </w:rPr>
        <w:t xml:space="preserve"> </w:t>
      </w:r>
      <w:r w:rsidRPr="009B3305">
        <w:rPr>
          <w:color w:val="000000" w:themeColor="text1"/>
          <w:sz w:val="27"/>
          <w:szCs w:val="27"/>
        </w:rPr>
        <w:t>дані, які можуть вказувати на відповідність судді критерію доброчесності.</w:t>
      </w:r>
    </w:p>
    <w:p w:rsidR="00DF0286" w:rsidRPr="009B3305" w:rsidRDefault="00FA25D8" w:rsidP="005D0A84">
      <w:pPr>
        <w:pStyle w:val="aa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9B3305">
        <w:rPr>
          <w:color w:val="000000" w:themeColor="text1"/>
          <w:sz w:val="27"/>
          <w:szCs w:val="27"/>
        </w:rPr>
        <w:t>Метою</w:t>
      </w:r>
      <w:r w:rsidRPr="009B3305">
        <w:rPr>
          <w:rFonts w:ascii="Calibri" w:hAnsi="Calibri" w:cs="Calibri"/>
          <w:color w:val="000000" w:themeColor="text1"/>
          <w:sz w:val="27"/>
          <w:szCs w:val="27"/>
        </w:rPr>
        <w:t xml:space="preserve"> </w:t>
      </w:r>
      <w:r w:rsidR="00DF0286" w:rsidRPr="009B3305">
        <w:rPr>
          <w:bCs/>
          <w:color w:val="000000" w:themeColor="text1"/>
          <w:sz w:val="27"/>
          <w:szCs w:val="27"/>
        </w:rPr>
        <w:t>впроваджен</w:t>
      </w:r>
      <w:r w:rsidR="00117111" w:rsidRPr="009B3305">
        <w:rPr>
          <w:bCs/>
          <w:color w:val="000000" w:themeColor="text1"/>
          <w:sz w:val="27"/>
          <w:szCs w:val="27"/>
        </w:rPr>
        <w:t>ня</w:t>
      </w:r>
      <w:r w:rsidR="00DF0286" w:rsidRPr="009B3305">
        <w:rPr>
          <w:bCs/>
          <w:color w:val="000000" w:themeColor="text1"/>
          <w:sz w:val="27"/>
          <w:szCs w:val="27"/>
        </w:rPr>
        <w:t xml:space="preserve"> у</w:t>
      </w:r>
      <w:r w:rsidR="00A75A96" w:rsidRPr="009B3305">
        <w:rPr>
          <w:bCs/>
          <w:color w:val="000000" w:themeColor="text1"/>
          <w:sz w:val="27"/>
          <w:szCs w:val="27"/>
        </w:rPr>
        <w:t xml:space="preserve"> </w:t>
      </w:r>
      <w:r w:rsidRPr="009B3305">
        <w:rPr>
          <w:bCs/>
          <w:color w:val="000000" w:themeColor="text1"/>
          <w:sz w:val="27"/>
          <w:szCs w:val="27"/>
        </w:rPr>
        <w:t xml:space="preserve">2016 році такого </w:t>
      </w:r>
      <w:r w:rsidR="00DF0286" w:rsidRPr="009B3305">
        <w:rPr>
          <w:bCs/>
          <w:color w:val="000000" w:themeColor="text1"/>
          <w:sz w:val="27"/>
          <w:szCs w:val="27"/>
        </w:rPr>
        <w:t>інструмент</w:t>
      </w:r>
      <w:r w:rsidRPr="009B3305">
        <w:rPr>
          <w:bCs/>
          <w:color w:val="000000" w:themeColor="text1"/>
          <w:sz w:val="27"/>
          <w:szCs w:val="27"/>
        </w:rPr>
        <w:t>у</w:t>
      </w:r>
      <w:r w:rsidR="00DF0286" w:rsidRPr="009B3305">
        <w:rPr>
          <w:bCs/>
          <w:color w:val="000000" w:themeColor="text1"/>
          <w:sz w:val="27"/>
          <w:szCs w:val="27"/>
        </w:rPr>
        <w:t xml:space="preserve"> перевірки доброчесності судді </w:t>
      </w:r>
      <w:r w:rsidRPr="009B3305">
        <w:rPr>
          <w:bCs/>
          <w:color w:val="000000" w:themeColor="text1"/>
          <w:sz w:val="27"/>
          <w:szCs w:val="27"/>
        </w:rPr>
        <w:t xml:space="preserve">як </w:t>
      </w:r>
      <w:r w:rsidR="00DF0286" w:rsidRPr="009B3305">
        <w:rPr>
          <w:bCs/>
          <w:color w:val="000000" w:themeColor="text1"/>
          <w:sz w:val="27"/>
          <w:szCs w:val="27"/>
        </w:rPr>
        <w:t>декларація доброчесності судді</w:t>
      </w:r>
      <w:r w:rsidRPr="009B3305">
        <w:rPr>
          <w:bCs/>
          <w:color w:val="000000" w:themeColor="text1"/>
          <w:sz w:val="27"/>
          <w:szCs w:val="27"/>
        </w:rPr>
        <w:t xml:space="preserve"> (статт</w:t>
      </w:r>
      <w:r w:rsidR="005D0A84" w:rsidRPr="009B3305">
        <w:rPr>
          <w:bCs/>
          <w:color w:val="000000" w:themeColor="text1"/>
          <w:sz w:val="27"/>
          <w:szCs w:val="27"/>
        </w:rPr>
        <w:t>я</w:t>
      </w:r>
      <w:r w:rsidRPr="009B3305">
        <w:rPr>
          <w:bCs/>
          <w:color w:val="000000" w:themeColor="text1"/>
          <w:sz w:val="27"/>
          <w:szCs w:val="27"/>
        </w:rPr>
        <w:t xml:space="preserve"> 62 </w:t>
      </w:r>
      <w:r w:rsidR="00F764B7" w:rsidRPr="009B3305">
        <w:rPr>
          <w:bCs/>
          <w:color w:val="000000" w:themeColor="text1"/>
          <w:sz w:val="27"/>
          <w:szCs w:val="27"/>
        </w:rPr>
        <w:br/>
      </w:r>
      <w:r w:rsidRPr="009B3305">
        <w:rPr>
          <w:bCs/>
          <w:color w:val="000000" w:themeColor="text1"/>
          <w:sz w:val="27"/>
          <w:szCs w:val="27"/>
        </w:rPr>
        <w:t xml:space="preserve">Закону 1402-VIII) </w:t>
      </w:r>
      <w:r w:rsidRPr="009B3305">
        <w:rPr>
          <w:color w:val="000000" w:themeColor="text1"/>
          <w:sz w:val="27"/>
          <w:szCs w:val="27"/>
        </w:rPr>
        <w:t>було визначено уникнення корупційних ризиків та забезпечення принципів відкритості і прозорості діяльності суддів</w:t>
      </w:r>
      <w:r w:rsidRPr="009B3305">
        <w:rPr>
          <w:rStyle w:val="a9"/>
          <w:bCs/>
          <w:color w:val="000000" w:themeColor="text1"/>
          <w:sz w:val="27"/>
          <w:szCs w:val="27"/>
        </w:rPr>
        <w:footnoteReference w:id="2"/>
      </w:r>
      <w:r w:rsidR="00DF0286" w:rsidRPr="009B3305">
        <w:rPr>
          <w:bCs/>
          <w:color w:val="000000" w:themeColor="text1"/>
          <w:sz w:val="27"/>
          <w:szCs w:val="27"/>
        </w:rPr>
        <w:t xml:space="preserve">, </w:t>
      </w:r>
      <w:r w:rsidRPr="009B3305">
        <w:rPr>
          <w:bCs/>
          <w:color w:val="000000" w:themeColor="text1"/>
          <w:sz w:val="27"/>
          <w:szCs w:val="27"/>
        </w:rPr>
        <w:t>що чітко вказує на його антикорупційну природу</w:t>
      </w:r>
      <w:r w:rsidR="00B24AA2" w:rsidRPr="009B3305">
        <w:rPr>
          <w:bCs/>
          <w:color w:val="000000" w:themeColor="text1"/>
          <w:sz w:val="27"/>
          <w:szCs w:val="27"/>
        </w:rPr>
        <w:t>.</w:t>
      </w:r>
    </w:p>
    <w:p w:rsidR="00B24AA2" w:rsidRPr="009B3305" w:rsidRDefault="00FA25D8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Важливою о</w:t>
      </w:r>
      <w:r w:rsidR="00B24AA2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собливістю декларації доброчесності судді є те, що частина тверджень, які в ній містяться визначаються безпосередньо у законі, а частина може бути </w:t>
      </w:r>
      <w:r w:rsidR="006B7801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додатково </w:t>
      </w:r>
      <w:r w:rsidR="00B24AA2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визначена </w:t>
      </w:r>
      <w:r w:rsidR="00630B57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Вищою кваліфікаційною комісією суддів України</w:t>
      </w:r>
      <w:r w:rsidR="00B24AA2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, </w:t>
      </w:r>
      <w:proofErr w:type="spellStart"/>
      <w:r w:rsidR="00B24AA2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дискреція</w:t>
      </w:r>
      <w:proofErr w:type="spellEnd"/>
      <w:r w:rsidR="00B24AA2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якої обмежується тим, що </w:t>
      </w:r>
      <w:r w:rsidR="00744F6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метою таких тверджень має бути виключно перевірка доброчесності. </w:t>
      </w:r>
    </w:p>
    <w:p w:rsidR="00F52970" w:rsidRPr="009B3305" w:rsidRDefault="00744F60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lastRenderedPageBreak/>
        <w:t xml:space="preserve">Аналіз положень частини третьої статті 62 Закону 1402-VIII </w:t>
      </w:r>
      <w:r w:rsidR="00F5297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свідчить про те</w:t>
      </w:r>
      <w:r w:rsidR="005D0A84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,</w:t>
      </w:r>
      <w:r w:rsidR="00F5297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що</w:t>
      </w:r>
      <w:r w:rsidR="00F52970" w:rsidRPr="001D4C6B">
        <w:rPr>
          <w:rFonts w:ascii="Times New Roman" w:hAnsi="Times New Roman" w:cs="Times New Roman"/>
          <w:bCs/>
          <w:color w:val="000000" w:themeColor="text1"/>
          <w:sz w:val="10"/>
          <w:szCs w:val="10"/>
        </w:rPr>
        <w:t xml:space="preserve"> </w:t>
      </w:r>
      <w:r w:rsidR="00F5297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твердження</w:t>
      </w: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,</w:t>
      </w:r>
      <w:r w:rsidRPr="001D4C6B">
        <w:rPr>
          <w:rFonts w:ascii="Times New Roman" w:hAnsi="Times New Roman" w:cs="Times New Roman"/>
          <w:bCs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які</w:t>
      </w:r>
      <w:r w:rsidRPr="001D4C6B">
        <w:rPr>
          <w:rFonts w:ascii="Times New Roman" w:hAnsi="Times New Roman" w:cs="Times New Roman"/>
          <w:bCs/>
          <w:color w:val="000000" w:themeColor="text1"/>
          <w:sz w:val="10"/>
          <w:szCs w:val="10"/>
        </w:rPr>
        <w:t xml:space="preserve"> </w:t>
      </w: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визначені законодавцем, переважно </w:t>
      </w:r>
      <w:r w:rsidR="00F5297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ґрунтуються</w:t>
      </w: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на положеннях </w:t>
      </w:r>
      <w:r w:rsidR="00F5297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антикорупційного</w:t>
      </w: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законодавства</w:t>
      </w:r>
      <w:r w:rsidR="00F5297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, що цілком вкладається в загальну логіку перевірки саме доброчесності, та слугує очевидним орієнтиром для ВККС</w:t>
      </w:r>
      <w:r w:rsidR="00942B64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при визначені додаткових тверджень</w:t>
      </w:r>
      <w:r w:rsidR="00F5297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</w:t>
      </w:r>
    </w:p>
    <w:p w:rsidR="00F52970" w:rsidRPr="009B3305" w:rsidRDefault="00630B57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31 жовтня 2016 року 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</w:t>
      </w:r>
      <w:r w:rsidR="006B7801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ішенням В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ищої кваліфікаційної комісії суддів України </w:t>
      </w:r>
      <w:r w:rsidR="006B7801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№ 137/зп-16 </w:t>
      </w:r>
      <w:r w:rsidR="00A75A9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затверджено форму декларації доброчесності судді. </w:t>
      </w:r>
      <w:r w:rsidR="006B7801" w:rsidRPr="009B330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Зазначена</w:t>
      </w:r>
      <w:r w:rsidR="00BE3D66" w:rsidRPr="009B330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6B7801" w:rsidRPr="009B330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декларація </w:t>
      </w:r>
      <w:r w:rsidR="00BE3D66" w:rsidRPr="009B330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складається з переліку тверджень, правдивість яких суддя повинен задекларувати шляхом їх підтвердження або </w:t>
      </w:r>
      <w:proofErr w:type="spellStart"/>
      <w:r w:rsidR="00BE3D66" w:rsidRPr="009B330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непідтвердження</w:t>
      </w:r>
      <w:proofErr w:type="spellEnd"/>
      <w:r w:rsidR="00BE3D66" w:rsidRPr="009B330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  <w:r w:rsidR="00BE3D66"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BE3D6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Не складно помітити, що критеріями визначення таких тверджень </w:t>
      </w:r>
      <w:r w:rsidR="005D0A84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є </w:t>
      </w:r>
      <w:r w:rsidR="00FA25D8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передусім </w:t>
      </w:r>
      <w:r w:rsidR="00BE3D6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положення антикорупційного законодавства, Кодекс</w:t>
      </w:r>
      <w:r w:rsidR="00DF3575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у</w:t>
      </w:r>
      <w:r w:rsidR="00BE3D6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суддівської етики</w:t>
      </w:r>
      <w:r w:rsidR="00DF3575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, а також </w:t>
      </w:r>
      <w:proofErr w:type="spellStart"/>
      <w:r w:rsidR="00DF3575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Бангалорські</w:t>
      </w:r>
      <w:proofErr w:type="spellEnd"/>
      <w:r w:rsidR="00DF3575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принципи поведінки суддів.</w:t>
      </w:r>
      <w:r w:rsidR="00BE3D6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При цьому </w:t>
      </w:r>
      <w:proofErr w:type="spellStart"/>
      <w:r w:rsidR="00BE3D6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непідтвердження</w:t>
      </w:r>
      <w:proofErr w:type="spellEnd"/>
      <w:r w:rsidR="00BE3D6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DF3575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правдивості </w:t>
      </w:r>
      <w:r w:rsidR="00BE3D66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відповідного твердження фактично є визнанням порушення, тобто недоброчесної поведінки.</w:t>
      </w:r>
      <w:r w:rsidR="00BE3D66"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942B64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Саме такий підхід демонструє системність та послідовність, які є ознаками юридичної якості документа.</w:t>
      </w:r>
    </w:p>
    <w:p w:rsidR="00FB76D3" w:rsidRPr="009B3305" w:rsidRDefault="00DF3575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Ураховуючи зазначене, вважаю, що </w:t>
      </w:r>
      <w:r w:rsidR="0073572D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ункти</w:t>
      </w:r>
      <w:r w:rsidR="0073572D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14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15, 16, 17, </w:t>
      </w:r>
      <w:r w:rsidR="00F764B7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18 Д</w:t>
      </w:r>
      <w:r w:rsidR="0073572D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екларації доброчесності судді є такими, що не відповідають </w:t>
      </w:r>
      <w:r w:rsidR="001E4AA4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визначеній у законі меті – перевірка доброчесності</w:t>
      </w:r>
      <w:r w:rsidR="009736F1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, не узгоджуються з критеріями доброчесності, визначеними</w:t>
      </w:r>
      <w:bookmarkStart w:id="1" w:name="_GoBack"/>
      <w:r w:rsidR="009736F1" w:rsidRPr="001D4C6B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bookmarkEnd w:id="1"/>
      <w:r w:rsidR="009736F1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="00F764B7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рамках процедур кваліфікаційно</w:t>
      </w:r>
      <w:r w:rsidR="009736F1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 оцінювання та </w:t>
      </w:r>
      <w:r w:rsidR="001E4AA4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>порушують єдину логіку формулювання тверджень,</w:t>
      </w:r>
      <w:r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E4AA4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створюючи у декларанта </w:t>
      </w:r>
      <w:r w:rsidR="001047E0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 стороннього спостерігача </w:t>
      </w:r>
      <w:r w:rsidR="001E4AA4" w:rsidRPr="009B33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хибне уявлення, що </w:t>
      </w:r>
      <w:r w:rsidR="001047E0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протилежне</w:t>
      </w:r>
      <w:r w:rsidR="001E4AA4" w:rsidRPr="009B330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твердження містить ознаки недоброчесної поведінки.</w:t>
      </w:r>
    </w:p>
    <w:p w:rsidR="00FB76D3" w:rsidRPr="009B3305" w:rsidRDefault="00FB76D3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75B54" w:rsidRPr="009B3305" w:rsidRDefault="00375B54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16A59" w:rsidRPr="009B3305" w:rsidRDefault="00816A59" w:rsidP="005D0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Член </w:t>
      </w:r>
      <w:r w:rsidR="00F764B7"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комісії</w:t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F764B7"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Руслан</w:t>
      </w:r>
      <w:r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F764B7" w:rsidRPr="009B33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МЕЛЬНИК</w:t>
      </w:r>
    </w:p>
    <w:sectPr w:rsidR="00816A59" w:rsidRPr="009B3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4E" w:rsidRDefault="00114B4E" w:rsidP="00744F60">
      <w:pPr>
        <w:spacing w:after="0" w:line="240" w:lineRule="auto"/>
      </w:pPr>
      <w:r>
        <w:separator/>
      </w:r>
    </w:p>
  </w:endnote>
  <w:endnote w:type="continuationSeparator" w:id="0">
    <w:p w:rsidR="00114B4E" w:rsidRDefault="00114B4E" w:rsidP="0074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4E" w:rsidRDefault="00114B4E" w:rsidP="00744F60">
      <w:pPr>
        <w:spacing w:after="0" w:line="240" w:lineRule="auto"/>
      </w:pPr>
      <w:r>
        <w:separator/>
      </w:r>
    </w:p>
  </w:footnote>
  <w:footnote w:type="continuationSeparator" w:id="0">
    <w:p w:rsidR="00114B4E" w:rsidRDefault="00114B4E" w:rsidP="00744F60">
      <w:pPr>
        <w:spacing w:after="0" w:line="240" w:lineRule="auto"/>
      </w:pPr>
      <w:r>
        <w:continuationSeparator/>
      </w:r>
    </w:p>
  </w:footnote>
  <w:footnote w:id="1">
    <w:p w:rsidR="00356CF4" w:rsidRPr="005D0A84" w:rsidRDefault="00356CF4" w:rsidP="005D0A84">
      <w:pPr>
        <w:pStyle w:val="a7"/>
        <w:jc w:val="both"/>
        <w:rPr>
          <w:rFonts w:cstheme="minorHAnsi"/>
        </w:rPr>
      </w:pPr>
      <w:r>
        <w:rPr>
          <w:rStyle w:val="a9"/>
        </w:rPr>
        <w:footnoteRef/>
      </w:r>
      <w:r>
        <w:rPr>
          <w:color w:val="333333"/>
          <w:shd w:val="clear" w:color="auto" w:fill="FFFFFF"/>
        </w:rPr>
        <w:t xml:space="preserve"> </w:t>
      </w:r>
      <w:r w:rsidR="00117111">
        <w:rPr>
          <w:color w:val="333333"/>
          <w:shd w:val="clear" w:color="auto" w:fill="FFFFFF"/>
        </w:rPr>
        <w:t xml:space="preserve">Так, в мотивувальній частині рішення від </w:t>
      </w:r>
      <w:r w:rsidR="00117111" w:rsidRPr="00117111">
        <w:rPr>
          <w:rStyle w:val="rvts44"/>
          <w:color w:val="333333"/>
          <w:shd w:val="clear" w:color="auto" w:fill="FFFFFF"/>
        </w:rPr>
        <w:t>6 червня 2019 року№ 3-р/2019</w:t>
      </w:r>
      <w:r w:rsidR="00117111">
        <w:rPr>
          <w:rStyle w:val="rvts44"/>
          <w:color w:val="333333"/>
          <w:shd w:val="clear" w:color="auto" w:fill="FFFFFF"/>
        </w:rPr>
        <w:t xml:space="preserve"> </w:t>
      </w:r>
      <w:r w:rsidR="00117111">
        <w:rPr>
          <w:color w:val="333333"/>
          <w:shd w:val="clear" w:color="auto" w:fill="FFFFFF"/>
        </w:rPr>
        <w:t>Велика палата Конституційного Суду України зокрема зазначила, що «</w:t>
      </w:r>
      <w:r>
        <w:rPr>
          <w:color w:val="333333"/>
          <w:shd w:val="clear" w:color="auto" w:fill="FFFFFF"/>
        </w:rPr>
        <w:t>Передбачені законодавством України антикорупційні заходи повинні, зокрема, відповідати</w:t>
      </w:r>
      <w:r w:rsidRPr="001D4C6B">
        <w:rPr>
          <w:color w:val="333333"/>
          <w:sz w:val="10"/>
          <w:szCs w:val="10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вимогам юридичної визначеності для забезпечення їх ефективності, дієвості, особливо коли йдеться про суб’єктів, умови та підстави застосування заходів юридичної відповідальності за вчинення корупційних та інших пов’язаних з корупцією правопорушень, а також для запобігання вчиненню цих правопорушень. Такі заходи мають бути </w:t>
      </w:r>
      <w:proofErr w:type="spellStart"/>
      <w:r>
        <w:rPr>
          <w:color w:val="333333"/>
          <w:shd w:val="clear" w:color="auto" w:fill="FFFFFF"/>
        </w:rPr>
        <w:t>співмірними</w:t>
      </w:r>
      <w:proofErr w:type="spellEnd"/>
      <w:r>
        <w:rPr>
          <w:color w:val="333333"/>
          <w:shd w:val="clear" w:color="auto" w:fill="FFFFFF"/>
        </w:rPr>
        <w:t xml:space="preserve"> меті їх встановлення у законі і досягати цієї мети у найменш обтяжливий для конституційних прав і свобод людини спосіб</w:t>
      </w:r>
      <w:r w:rsidR="00117111">
        <w:rPr>
          <w:color w:val="333333"/>
          <w:shd w:val="clear" w:color="auto" w:fill="FFFFFF"/>
        </w:rPr>
        <w:t>»</w:t>
      </w:r>
      <w:r>
        <w:rPr>
          <w:color w:val="333333"/>
          <w:shd w:val="clear" w:color="auto" w:fill="FFFFFF"/>
        </w:rPr>
        <w:t>.</w:t>
      </w:r>
      <w:r w:rsidR="009736F1" w:rsidRPr="009736F1">
        <w:t xml:space="preserve"> </w:t>
      </w:r>
      <w:hyperlink r:id="rId1" w:anchor="Text" w:tgtFrame="_blank" w:history="1">
        <w:r w:rsidR="009736F1" w:rsidRPr="009736F1">
          <w:rPr>
            <w:rStyle w:val="ab"/>
            <w:rFonts w:cstheme="minorHAnsi"/>
            <w:color w:val="1155CC"/>
            <w:shd w:val="clear" w:color="auto" w:fill="FFFFFF"/>
          </w:rPr>
          <w:t>https://zakon.rada.gov.ua/laws/show/v003p710-19#Text</w:t>
        </w:r>
      </w:hyperlink>
    </w:p>
  </w:footnote>
  <w:footnote w:id="2">
    <w:p w:rsidR="00FA25D8" w:rsidRDefault="00FA25D8" w:rsidP="00FA25D8">
      <w:pPr>
        <w:pStyle w:val="a7"/>
      </w:pPr>
      <w:r>
        <w:rPr>
          <w:rStyle w:val="a9"/>
        </w:rPr>
        <w:footnoteRef/>
      </w:r>
      <w:r>
        <w:t xml:space="preserve"> </w:t>
      </w:r>
      <w:r w:rsidRPr="009736F1">
        <w:rPr>
          <w:rFonts w:cstheme="minorHAnsi"/>
        </w:rPr>
        <w:t xml:space="preserve">Пояснювальна записка до </w:t>
      </w:r>
      <w:proofErr w:type="spellStart"/>
      <w:r w:rsidR="009736F1" w:rsidRPr="009736F1">
        <w:rPr>
          <w:rFonts w:cstheme="minorHAnsi"/>
        </w:rPr>
        <w:t>проєкту</w:t>
      </w:r>
      <w:proofErr w:type="spellEnd"/>
      <w:r w:rsidR="009736F1" w:rsidRPr="009736F1">
        <w:rPr>
          <w:rFonts w:cstheme="minorHAnsi"/>
        </w:rPr>
        <w:t xml:space="preserve"> Закону про судоустрій і статус суддів </w:t>
      </w:r>
      <w:r w:rsidR="009736F1" w:rsidRPr="009736F1">
        <w:rPr>
          <w:rFonts w:cstheme="minorHAnsi"/>
          <w:color w:val="333333"/>
          <w:shd w:val="clear" w:color="auto" w:fill="FFFFFF"/>
        </w:rPr>
        <w:t>№ 4734від 30.05.2016</w:t>
      </w:r>
      <w:r w:rsidRPr="009736F1">
        <w:rPr>
          <w:rFonts w:cstheme="minorHAnsi"/>
        </w:rPr>
        <w:t xml:space="preserve"> </w:t>
      </w:r>
      <w:hyperlink r:id="rId2" w:tgtFrame="_blank" w:history="1">
        <w:r w:rsidR="009736F1" w:rsidRPr="009736F1">
          <w:rPr>
            <w:rStyle w:val="ab"/>
            <w:rFonts w:cstheme="minorHAnsi"/>
            <w:color w:val="1155CC"/>
            <w:shd w:val="clear" w:color="auto" w:fill="FFFFFF"/>
          </w:rPr>
          <w:t>http://w1.c1.rada.gov.ua/pls/zweb2/webproc4_2?pf3516=4734&amp;skl=9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DB0"/>
    <w:multiLevelType w:val="hybridMultilevel"/>
    <w:tmpl w:val="96EC43B6"/>
    <w:lvl w:ilvl="0" w:tplc="0422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61"/>
    <w:rsid w:val="0000244B"/>
    <w:rsid w:val="001047E0"/>
    <w:rsid w:val="00114B4E"/>
    <w:rsid w:val="00117111"/>
    <w:rsid w:val="00196CA3"/>
    <w:rsid w:val="001D4C6B"/>
    <w:rsid w:val="001E0B93"/>
    <w:rsid w:val="001E0BCE"/>
    <w:rsid w:val="001E4AA4"/>
    <w:rsid w:val="001E5572"/>
    <w:rsid w:val="00216DB4"/>
    <w:rsid w:val="00262D44"/>
    <w:rsid w:val="00266E0E"/>
    <w:rsid w:val="0029225C"/>
    <w:rsid w:val="002A2EDF"/>
    <w:rsid w:val="002B11E1"/>
    <w:rsid w:val="003348AD"/>
    <w:rsid w:val="00356CF4"/>
    <w:rsid w:val="003674A7"/>
    <w:rsid w:val="00375B54"/>
    <w:rsid w:val="003E53D9"/>
    <w:rsid w:val="00407042"/>
    <w:rsid w:val="0043127B"/>
    <w:rsid w:val="004721FD"/>
    <w:rsid w:val="004C1B5E"/>
    <w:rsid w:val="004D0F20"/>
    <w:rsid w:val="004F49DE"/>
    <w:rsid w:val="004F4A59"/>
    <w:rsid w:val="005778FB"/>
    <w:rsid w:val="005C410C"/>
    <w:rsid w:val="005D0A84"/>
    <w:rsid w:val="00630B57"/>
    <w:rsid w:val="006310A4"/>
    <w:rsid w:val="00662DF6"/>
    <w:rsid w:val="00670C81"/>
    <w:rsid w:val="00684A83"/>
    <w:rsid w:val="00691AFD"/>
    <w:rsid w:val="00695561"/>
    <w:rsid w:val="006B1EF8"/>
    <w:rsid w:val="006B7801"/>
    <w:rsid w:val="0073572D"/>
    <w:rsid w:val="00744F60"/>
    <w:rsid w:val="007B7830"/>
    <w:rsid w:val="007D7A47"/>
    <w:rsid w:val="007E3176"/>
    <w:rsid w:val="008154B4"/>
    <w:rsid w:val="00816A59"/>
    <w:rsid w:val="0083743E"/>
    <w:rsid w:val="00861CEC"/>
    <w:rsid w:val="00890B63"/>
    <w:rsid w:val="008A23CE"/>
    <w:rsid w:val="008E6E0A"/>
    <w:rsid w:val="00932419"/>
    <w:rsid w:val="00936D42"/>
    <w:rsid w:val="00942B64"/>
    <w:rsid w:val="009640B7"/>
    <w:rsid w:val="009736F1"/>
    <w:rsid w:val="009B3305"/>
    <w:rsid w:val="00A12A93"/>
    <w:rsid w:val="00A3752C"/>
    <w:rsid w:val="00A57D89"/>
    <w:rsid w:val="00A70A0D"/>
    <w:rsid w:val="00A75085"/>
    <w:rsid w:val="00A75A96"/>
    <w:rsid w:val="00A771E2"/>
    <w:rsid w:val="00AD0CE5"/>
    <w:rsid w:val="00AD786E"/>
    <w:rsid w:val="00B24AA2"/>
    <w:rsid w:val="00B57EB8"/>
    <w:rsid w:val="00B72EFD"/>
    <w:rsid w:val="00B758B5"/>
    <w:rsid w:val="00BA03D4"/>
    <w:rsid w:val="00BB455A"/>
    <w:rsid w:val="00BD408C"/>
    <w:rsid w:val="00BE3D66"/>
    <w:rsid w:val="00C02879"/>
    <w:rsid w:val="00C15E86"/>
    <w:rsid w:val="00C43AE1"/>
    <w:rsid w:val="00C96E40"/>
    <w:rsid w:val="00D42F78"/>
    <w:rsid w:val="00D857CC"/>
    <w:rsid w:val="00DB108F"/>
    <w:rsid w:val="00DD027B"/>
    <w:rsid w:val="00DF0286"/>
    <w:rsid w:val="00DF3575"/>
    <w:rsid w:val="00E07AF6"/>
    <w:rsid w:val="00E968DE"/>
    <w:rsid w:val="00ED02CB"/>
    <w:rsid w:val="00F160F0"/>
    <w:rsid w:val="00F266F8"/>
    <w:rsid w:val="00F52970"/>
    <w:rsid w:val="00F764B7"/>
    <w:rsid w:val="00F77AB6"/>
    <w:rsid w:val="00F8289F"/>
    <w:rsid w:val="00F94463"/>
    <w:rsid w:val="00FA03A6"/>
    <w:rsid w:val="00FA25D8"/>
    <w:rsid w:val="00FB76D3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A5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12A93"/>
    <w:pPr>
      <w:spacing w:after="0" w:line="240" w:lineRule="auto"/>
    </w:pPr>
  </w:style>
  <w:style w:type="character" w:customStyle="1" w:styleId="3">
    <w:name w:val="Стиль3 Знак"/>
    <w:basedOn w:val="a0"/>
    <w:link w:val="30"/>
    <w:locked/>
    <w:rsid w:val="00A12A93"/>
    <w:rPr>
      <w:rFonts w:ascii="Times New Roman" w:eastAsia="Calibri" w:hAnsi="Times New Roman" w:cs="Times New Roman"/>
      <w:sz w:val="28"/>
      <w:szCs w:val="28"/>
    </w:rPr>
  </w:style>
  <w:style w:type="paragraph" w:customStyle="1" w:styleId="30">
    <w:name w:val="Стиль3"/>
    <w:basedOn w:val="a"/>
    <w:link w:val="3"/>
    <w:qFormat/>
    <w:rsid w:val="00A12A93"/>
    <w:pPr>
      <w:tabs>
        <w:tab w:val="left" w:pos="851"/>
        <w:tab w:val="left" w:pos="3318"/>
      </w:tabs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rvts9">
    <w:name w:val="rvts9"/>
    <w:basedOn w:val="a0"/>
    <w:rsid w:val="00691AFD"/>
  </w:style>
  <w:style w:type="character" w:customStyle="1" w:styleId="10">
    <w:name w:val="Заголовок 1 Знак"/>
    <w:basedOn w:val="a0"/>
    <w:link w:val="1"/>
    <w:uiPriority w:val="9"/>
    <w:rsid w:val="00691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unhideWhenUsed/>
    <w:rsid w:val="00744F6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744F6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4F60"/>
    <w:rPr>
      <w:vertAlign w:val="superscript"/>
    </w:rPr>
  </w:style>
  <w:style w:type="paragraph" w:styleId="aa">
    <w:name w:val="Normal (Web)"/>
    <w:basedOn w:val="a"/>
    <w:uiPriority w:val="99"/>
    <w:unhideWhenUsed/>
    <w:rsid w:val="0093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17111"/>
  </w:style>
  <w:style w:type="character" w:styleId="ab">
    <w:name w:val="Hyperlink"/>
    <w:basedOn w:val="a0"/>
    <w:uiPriority w:val="99"/>
    <w:semiHidden/>
    <w:unhideWhenUsed/>
    <w:rsid w:val="00973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A5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12A93"/>
    <w:pPr>
      <w:spacing w:after="0" w:line="240" w:lineRule="auto"/>
    </w:pPr>
  </w:style>
  <w:style w:type="character" w:customStyle="1" w:styleId="3">
    <w:name w:val="Стиль3 Знак"/>
    <w:basedOn w:val="a0"/>
    <w:link w:val="30"/>
    <w:locked/>
    <w:rsid w:val="00A12A93"/>
    <w:rPr>
      <w:rFonts w:ascii="Times New Roman" w:eastAsia="Calibri" w:hAnsi="Times New Roman" w:cs="Times New Roman"/>
      <w:sz w:val="28"/>
      <w:szCs w:val="28"/>
    </w:rPr>
  </w:style>
  <w:style w:type="paragraph" w:customStyle="1" w:styleId="30">
    <w:name w:val="Стиль3"/>
    <w:basedOn w:val="a"/>
    <w:link w:val="3"/>
    <w:qFormat/>
    <w:rsid w:val="00A12A93"/>
    <w:pPr>
      <w:tabs>
        <w:tab w:val="left" w:pos="851"/>
        <w:tab w:val="left" w:pos="3318"/>
      </w:tabs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rvts9">
    <w:name w:val="rvts9"/>
    <w:basedOn w:val="a0"/>
    <w:rsid w:val="00691AFD"/>
  </w:style>
  <w:style w:type="character" w:customStyle="1" w:styleId="10">
    <w:name w:val="Заголовок 1 Знак"/>
    <w:basedOn w:val="a0"/>
    <w:link w:val="1"/>
    <w:uiPriority w:val="9"/>
    <w:rsid w:val="00691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unhideWhenUsed/>
    <w:rsid w:val="00744F6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744F6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4F60"/>
    <w:rPr>
      <w:vertAlign w:val="superscript"/>
    </w:rPr>
  </w:style>
  <w:style w:type="paragraph" w:styleId="aa">
    <w:name w:val="Normal (Web)"/>
    <w:basedOn w:val="a"/>
    <w:uiPriority w:val="99"/>
    <w:unhideWhenUsed/>
    <w:rsid w:val="0093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17111"/>
  </w:style>
  <w:style w:type="character" w:styleId="ab">
    <w:name w:val="Hyperlink"/>
    <w:basedOn w:val="a0"/>
    <w:uiPriority w:val="99"/>
    <w:semiHidden/>
    <w:unhideWhenUsed/>
    <w:rsid w:val="00973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1.c1.rada.gov.ua/pls/zweb2/webproc4_2?pf3516=4734&amp;skl=9" TargetMode="External"/><Relationship Id="rId1" Type="http://schemas.openxmlformats.org/officeDocument/2006/relationships/hyperlink" Target="https://zakon.rada.gov.ua/laws/show/v003p710-1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0741-AD37-4447-A224-F0C2D437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4455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Абасова Анна Ігорівна</dc:creator>
  <cp:lastModifiedBy>Власенко Наталія Євгеніївна</cp:lastModifiedBy>
  <cp:revision>2</cp:revision>
  <cp:lastPrinted>2023-11-10T12:20:00Z</cp:lastPrinted>
  <dcterms:created xsi:type="dcterms:W3CDTF">2023-11-10T13:18:00Z</dcterms:created>
  <dcterms:modified xsi:type="dcterms:W3CDTF">2023-11-10T13:18:00Z</dcterms:modified>
</cp:coreProperties>
</file>